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4"/>
        <w:tblW w:w="8998" w:type="dxa"/>
        <w:tblLayout w:type="fixed"/>
        <w:tblLook w:val="0000"/>
      </w:tblPr>
      <w:tblGrid>
        <w:gridCol w:w="8998"/>
      </w:tblGrid>
      <w:tr w:rsidR="001F2695" w:rsidTr="00DE6901">
        <w:trPr>
          <w:trHeight w:val="360"/>
        </w:trPr>
        <w:tc>
          <w:tcPr>
            <w:tcW w:w="8106" w:type="dxa"/>
            <w:vAlign w:val="center"/>
          </w:tcPr>
          <w:p w:rsidR="001F2695" w:rsidRPr="006F5744" w:rsidRDefault="001F2695" w:rsidP="006F5744">
            <w:pPr>
              <w:pStyle w:val="normal"/>
              <w:spacing w:before="240"/>
              <w:jc w:val="center"/>
            </w:pPr>
            <w:r>
              <w:t>Глава III. Формирование приоритетов промышленной политики по инфраструктурной составляющей</w:t>
            </w:r>
          </w:p>
        </w:tc>
      </w:tr>
      <w:tr w:rsidR="001F2695" w:rsidTr="00DE6901">
        <w:trPr>
          <w:trHeight w:val="360"/>
        </w:trPr>
        <w:tc>
          <w:tcPr>
            <w:tcW w:w="8106" w:type="dxa"/>
            <w:vAlign w:val="center"/>
          </w:tcPr>
          <w:p w:rsidR="001F2695" w:rsidRDefault="001F2695" w:rsidP="001F2695">
            <w:pPr>
              <w:pStyle w:val="normal"/>
              <w:jc w:val="center"/>
            </w:pPr>
            <w:r>
              <w:t>§ 3.1. Сценарии развития использования инфраструктурных ресурсов в кратко- и среднесрочной перспективе</w:t>
            </w:r>
          </w:p>
        </w:tc>
      </w:tr>
    </w:tbl>
    <w:p w:rsidR="00B03472" w:rsidRPr="00DE6901" w:rsidRDefault="00B03472" w:rsidP="001F2695"/>
    <w:p w:rsidR="001F2695" w:rsidRDefault="001F2695" w:rsidP="001F26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695">
        <w:rPr>
          <w:rFonts w:ascii="Times New Roman" w:eastAsia="Times New Roman" w:hAnsi="Times New Roman" w:cs="Times New Roman"/>
          <w:sz w:val="28"/>
          <w:szCs w:val="28"/>
        </w:rPr>
        <w:t>Одной из общих тенденций развития мировой экономики в последние десятилетия является замедление темпов роста</w:t>
      </w:r>
      <w:r>
        <w:rPr>
          <w:rFonts w:ascii="Times New Roman" w:eastAsia="Times New Roman" w:hAnsi="Times New Roman" w:cs="Times New Roman"/>
          <w:sz w:val="28"/>
          <w:szCs w:val="28"/>
        </w:rPr>
        <w:t>. П</w:t>
      </w:r>
      <w:r w:rsidRPr="001F2695">
        <w:rPr>
          <w:rFonts w:ascii="Times New Roman" w:eastAsia="Times New Roman" w:hAnsi="Times New Roman" w:cs="Times New Roman"/>
          <w:sz w:val="28"/>
          <w:szCs w:val="28"/>
        </w:rPr>
        <w:t>осле 2018-2020гг., когда, по прогнозам, ожидается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начало крупномасштабного пришествия</w:t>
      </w:r>
      <w:r w:rsidRPr="001F26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шестого технологического уклада,</w:t>
      </w:r>
      <w:r w:rsidRPr="001F2695">
        <w:rPr>
          <w:rFonts w:ascii="Times New Roman" w:eastAsia="Times New Roman" w:hAnsi="Times New Roman" w:cs="Times New Roman"/>
          <w:sz w:val="28"/>
          <w:szCs w:val="28"/>
        </w:rPr>
        <w:t xml:space="preserve"> темпы роста миро</w:t>
      </w:r>
      <w:r>
        <w:rPr>
          <w:rFonts w:ascii="Times New Roman" w:eastAsia="Times New Roman" w:hAnsi="Times New Roman" w:cs="Times New Roman"/>
          <w:sz w:val="28"/>
          <w:szCs w:val="28"/>
        </w:rPr>
        <w:t>вого ВВП, прогнозируется, что</w:t>
      </w:r>
      <w:r w:rsidRPr="001F2695">
        <w:rPr>
          <w:rFonts w:ascii="Times New Roman" w:eastAsia="Times New Roman" w:hAnsi="Times New Roman" w:cs="Times New Roman"/>
          <w:sz w:val="28"/>
          <w:szCs w:val="28"/>
        </w:rPr>
        <w:t xml:space="preserve"> не будут превосходить их максимального значения в 4,9%, которого они достигали в 4-м цикле (1946-1982гг.), когда собственно в технической базе производства было много революционных инноваций.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Очертания данного уклада, как и прочие внешние угрозы и возможности для отечественной экономики уже формулир</w:t>
      </w:r>
      <w:r w:rsidR="006F5744">
        <w:rPr>
          <w:rFonts w:ascii="Times New Roman" w:eastAsia="Times New Roman" w:hAnsi="Times New Roman" w:cs="Times New Roman"/>
          <w:sz w:val="28"/>
          <w:szCs w:val="28"/>
        </w:rPr>
        <w:t>овались в 1 главе данной работы.  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десь же стоит отметить, что для формирования </w:t>
      </w:r>
      <w:r>
        <w:rPr>
          <w:rFonts w:ascii="Times New Roman" w:hAnsi="Times New Roman" w:cs="Times New Roman"/>
          <w:sz w:val="28"/>
          <w:szCs w:val="28"/>
        </w:rPr>
        <w:t>инфраструктурной составляющей</w:t>
      </w:r>
      <w:r w:rsidRPr="001F2695">
        <w:rPr>
          <w:rFonts w:ascii="Times New Roman" w:hAnsi="Times New Roman" w:cs="Times New Roman"/>
          <w:sz w:val="28"/>
          <w:szCs w:val="28"/>
        </w:rPr>
        <w:t xml:space="preserve"> промышленной политики в рамках трансформации экономики</w:t>
      </w:r>
      <w:r>
        <w:rPr>
          <w:rFonts w:ascii="Times New Roman" w:hAnsi="Times New Roman" w:cs="Times New Roman"/>
          <w:sz w:val="28"/>
          <w:szCs w:val="28"/>
        </w:rPr>
        <w:t>, которая явится основополагающим положением в возможности реализации данной политики, необходимо для начало сформулировать с</w:t>
      </w:r>
      <w:r w:rsidRPr="001F2695">
        <w:rPr>
          <w:rFonts w:ascii="Times New Roman" w:hAnsi="Times New Roman" w:cs="Times New Roman"/>
          <w:sz w:val="28"/>
          <w:szCs w:val="28"/>
        </w:rPr>
        <w:t>ценарии развития использования инфраструктурных ресурсов в кратко- и среднесрочной перспективе</w:t>
      </w:r>
      <w:r>
        <w:rPr>
          <w:rFonts w:ascii="Times New Roman" w:hAnsi="Times New Roman" w:cs="Times New Roman"/>
          <w:sz w:val="28"/>
          <w:szCs w:val="28"/>
        </w:rPr>
        <w:t xml:space="preserve"> развития национальной экономики.</w:t>
      </w:r>
    </w:p>
    <w:p w:rsidR="006F5744" w:rsidRPr="006F5744" w:rsidRDefault="006F5744" w:rsidP="006F57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формулирования сценария необходимо обратиться к анализу</w:t>
      </w:r>
      <w:r w:rsidRPr="006F5744">
        <w:rPr>
          <w:rFonts w:ascii="Times New Roman" w:hAnsi="Times New Roman" w:cs="Times New Roman"/>
          <w:sz w:val="28"/>
          <w:szCs w:val="28"/>
        </w:rPr>
        <w:t xml:space="preserve"> факторов наращивания и выбывания среднегодовой производственной мощности</w:t>
      </w:r>
      <w:r>
        <w:rPr>
          <w:rFonts w:ascii="Times New Roman" w:hAnsi="Times New Roman" w:cs="Times New Roman"/>
          <w:sz w:val="28"/>
          <w:szCs w:val="28"/>
        </w:rPr>
        <w:t>. Данные факторы</w:t>
      </w:r>
      <w:r w:rsidRPr="006F5744">
        <w:rPr>
          <w:rFonts w:ascii="Times New Roman" w:hAnsi="Times New Roman" w:cs="Times New Roman"/>
          <w:sz w:val="28"/>
          <w:szCs w:val="28"/>
        </w:rPr>
        <w:t xml:space="preserve"> преимущественно складываются из показателей, зависимых от:</w:t>
      </w:r>
    </w:p>
    <w:p w:rsidR="006F5744" w:rsidRDefault="006F5744" w:rsidP="006F574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1) внешних процессов и принятых стратегий развития/сокращения производства (ввод в действие новых цехов, расширение старых, реконструкция, техническое перевооружение, смена часов работы, номенклатуры продукции, окончание срока лизинга и т.д.)</w:t>
      </w:r>
    </w:p>
    <w:p w:rsidR="008303BB" w:rsidRPr="006F5744" w:rsidRDefault="008303BB" w:rsidP="006F574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03BB" w:rsidRDefault="001F2695" w:rsidP="008303BB">
      <w:pPr>
        <w:jc w:val="right"/>
        <w:rPr>
          <w:rFonts w:ascii="Times New Roman" w:hAnsi="Times New Roman" w:cs="Times New Roman"/>
          <w:sz w:val="28"/>
          <w:szCs w:val="28"/>
        </w:rPr>
      </w:pPr>
      <w:r w:rsidRPr="001F2695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6F5744">
        <w:rPr>
          <w:rFonts w:ascii="Times New Roman" w:hAnsi="Times New Roman" w:cs="Times New Roman"/>
          <w:sz w:val="28"/>
          <w:szCs w:val="28"/>
        </w:rPr>
        <w:t>3.1</w:t>
      </w:r>
    </w:p>
    <w:p w:rsidR="001F2695" w:rsidRPr="006F5744" w:rsidRDefault="00DE6901" w:rsidP="00DE69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695" w:rsidRPr="001F2695">
        <w:rPr>
          <w:rFonts w:ascii="Times New Roman" w:hAnsi="Times New Roman" w:cs="Times New Roman"/>
          <w:sz w:val="28"/>
          <w:szCs w:val="28"/>
        </w:rPr>
        <w:t>Уровень использования среднегодовой производственной мощности организаций по выпуску отдельных видов продукции</w:t>
      </w:r>
    </w:p>
    <w:tbl>
      <w:tblPr>
        <w:tblW w:w="98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418"/>
        <w:gridCol w:w="567"/>
        <w:gridCol w:w="567"/>
        <w:gridCol w:w="567"/>
        <w:gridCol w:w="567"/>
        <w:gridCol w:w="570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1F2695" w:rsidRPr="002C433A" w:rsidTr="00DE6901">
        <w:trPr>
          <w:trHeight w:val="315"/>
        </w:trPr>
        <w:tc>
          <w:tcPr>
            <w:tcW w:w="1418" w:type="dxa"/>
            <w:shd w:val="clear" w:color="99CCFF" w:fill="FFFFFF"/>
            <w:vAlign w:val="center"/>
            <w:hideMark/>
          </w:tcPr>
          <w:p w:rsidR="001F2695" w:rsidRPr="002C433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2001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2002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2003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2004</w:t>
            </w:r>
          </w:p>
        </w:tc>
        <w:tc>
          <w:tcPr>
            <w:tcW w:w="570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2005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2007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2008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2009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2010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2011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2014</w:t>
            </w:r>
          </w:p>
        </w:tc>
      </w:tr>
      <w:tr w:rsidR="001F2695" w:rsidRPr="002C433A" w:rsidTr="00DE6901">
        <w:trPr>
          <w:trHeight w:val="330"/>
        </w:trPr>
        <w:tc>
          <w:tcPr>
            <w:tcW w:w="1418" w:type="dxa"/>
            <w:shd w:val="clear" w:color="FFFF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0CF0">
              <w:rPr>
                <w:bCs/>
                <w:color w:val="000000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70,3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72,3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69,0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73,0</w:t>
            </w:r>
          </w:p>
        </w:tc>
        <w:tc>
          <w:tcPr>
            <w:tcW w:w="570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76,0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76,3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72,0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76,0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72,7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63,3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66,0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68,3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73,7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68,3</w:t>
            </w:r>
          </w:p>
        </w:tc>
      </w:tr>
      <w:tr w:rsidR="001F2695" w:rsidRPr="002C433A" w:rsidTr="00DE6901">
        <w:trPr>
          <w:trHeight w:val="435"/>
        </w:trPr>
        <w:tc>
          <w:tcPr>
            <w:tcW w:w="1418" w:type="dxa"/>
            <w:shd w:val="clear" w:color="FFFF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0CF0">
              <w:rPr>
                <w:bCs/>
                <w:color w:val="000000"/>
                <w:sz w:val="16"/>
                <w:szCs w:val="16"/>
              </w:rPr>
              <w:t>Производство пищевых продуктов, включая напитки, и табака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44,3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47,0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48,6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49,9</w:t>
            </w:r>
          </w:p>
        </w:tc>
        <w:tc>
          <w:tcPr>
            <w:tcW w:w="570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51,6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54,5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55,7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56,3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55,3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54,5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53,5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53,1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54,0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50,4</w:t>
            </w:r>
          </w:p>
        </w:tc>
      </w:tr>
      <w:tr w:rsidR="001F2695" w:rsidRPr="002C433A" w:rsidTr="00DE6901">
        <w:trPr>
          <w:trHeight w:val="435"/>
        </w:trPr>
        <w:tc>
          <w:tcPr>
            <w:tcW w:w="1418" w:type="dxa"/>
            <w:shd w:val="clear" w:color="FFFF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0CF0">
              <w:rPr>
                <w:bCs/>
                <w:color w:val="000000"/>
                <w:sz w:val="16"/>
                <w:szCs w:val="16"/>
              </w:rPr>
              <w:t>Текстильное и швейное производство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34,3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37,3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39,8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46,0</w:t>
            </w:r>
          </w:p>
        </w:tc>
        <w:tc>
          <w:tcPr>
            <w:tcW w:w="570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47,3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49,0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55,2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54,0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53,2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52,7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52,3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47,3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47,8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50,3</w:t>
            </w:r>
          </w:p>
        </w:tc>
      </w:tr>
      <w:tr w:rsidR="001F2695" w:rsidRPr="002C433A" w:rsidTr="00DE6901">
        <w:trPr>
          <w:trHeight w:val="435"/>
        </w:trPr>
        <w:tc>
          <w:tcPr>
            <w:tcW w:w="1418" w:type="dxa"/>
            <w:shd w:val="clear" w:color="FFFF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0CF0">
              <w:rPr>
                <w:bCs/>
                <w:color w:val="000000"/>
                <w:sz w:val="16"/>
                <w:szCs w:val="16"/>
              </w:rPr>
              <w:t>Обработка древесины и производство изделий из дерева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53,0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47,7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51,3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56,0</w:t>
            </w:r>
          </w:p>
        </w:tc>
        <w:tc>
          <w:tcPr>
            <w:tcW w:w="570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56,0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64,3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63,3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62,7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59,0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59,0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59,0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58,0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59,0</w:t>
            </w:r>
          </w:p>
        </w:tc>
      </w:tr>
      <w:tr w:rsidR="001F2695" w:rsidRPr="002C433A" w:rsidTr="00DE6901">
        <w:trPr>
          <w:trHeight w:val="645"/>
        </w:trPr>
        <w:tc>
          <w:tcPr>
            <w:tcW w:w="1418" w:type="dxa"/>
            <w:shd w:val="clear" w:color="FFFF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0CF0">
              <w:rPr>
                <w:bCs/>
                <w:color w:val="000000"/>
                <w:sz w:val="16"/>
                <w:szCs w:val="16"/>
              </w:rPr>
              <w:t>Целлюлозно-бумажное производство; издательская и полиграфическая деятельность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71,0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74,0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78,5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79,5</w:t>
            </w:r>
          </w:p>
        </w:tc>
        <w:tc>
          <w:tcPr>
            <w:tcW w:w="570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82,5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83,0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85,5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85,5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84,5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79,5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80,0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80,0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80,5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79,0</w:t>
            </w:r>
          </w:p>
        </w:tc>
      </w:tr>
      <w:tr w:rsidR="001F2695" w:rsidRPr="002C433A" w:rsidTr="00DE6901">
        <w:trPr>
          <w:trHeight w:val="333"/>
        </w:trPr>
        <w:tc>
          <w:tcPr>
            <w:tcW w:w="1418" w:type="dxa"/>
            <w:shd w:val="clear" w:color="FFFF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0CF0">
              <w:rPr>
                <w:bCs/>
                <w:color w:val="000000"/>
                <w:sz w:val="16"/>
                <w:szCs w:val="16"/>
              </w:rPr>
              <w:t>Химическое производство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59,6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60,2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64,4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67,6</w:t>
            </w:r>
          </w:p>
        </w:tc>
        <w:tc>
          <w:tcPr>
            <w:tcW w:w="570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71,4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73,4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74,0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76,4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72,6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68,0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73,6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75,6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73,0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74,0</w:t>
            </w:r>
          </w:p>
        </w:tc>
      </w:tr>
      <w:tr w:rsidR="001F2695" w:rsidRPr="002C433A" w:rsidTr="00DE6901">
        <w:trPr>
          <w:trHeight w:val="405"/>
        </w:trPr>
        <w:tc>
          <w:tcPr>
            <w:tcW w:w="1418" w:type="dxa"/>
            <w:shd w:val="clear" w:color="FFFF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0CF0">
              <w:rPr>
                <w:bCs/>
                <w:color w:val="000000"/>
                <w:sz w:val="16"/>
                <w:szCs w:val="16"/>
              </w:rPr>
              <w:t>Производство резиновых и пластмассовых изделий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50,5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56,0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56,5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61,0</w:t>
            </w:r>
          </w:p>
        </w:tc>
        <w:tc>
          <w:tcPr>
            <w:tcW w:w="570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63,5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63,5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72,5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68,5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53,0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67,0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69,5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69,5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66,5</w:t>
            </w:r>
          </w:p>
        </w:tc>
      </w:tr>
      <w:tr w:rsidR="001F2695" w:rsidRPr="002C433A" w:rsidTr="00DE6901">
        <w:trPr>
          <w:trHeight w:val="600"/>
        </w:trPr>
        <w:tc>
          <w:tcPr>
            <w:tcW w:w="1418" w:type="dxa"/>
            <w:shd w:val="clear" w:color="FFFF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0CF0">
              <w:rPr>
                <w:bCs/>
                <w:color w:val="000000"/>
                <w:sz w:val="16"/>
                <w:szCs w:val="16"/>
              </w:rPr>
              <w:t>Производство прочих неметаллических минеральных продуктов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39,3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42,5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44,3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50,2</w:t>
            </w:r>
          </w:p>
        </w:tc>
        <w:tc>
          <w:tcPr>
            <w:tcW w:w="570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54,7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55,5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60,8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65,0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59,0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45,2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55,3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56,0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57,5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58,7</w:t>
            </w:r>
          </w:p>
        </w:tc>
      </w:tr>
      <w:tr w:rsidR="001F2695" w:rsidRPr="002C433A" w:rsidTr="00DE6901">
        <w:trPr>
          <w:trHeight w:val="600"/>
        </w:trPr>
        <w:tc>
          <w:tcPr>
            <w:tcW w:w="1418" w:type="dxa"/>
            <w:shd w:val="clear" w:color="FFFF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0CF0">
              <w:rPr>
                <w:bCs/>
                <w:color w:val="000000"/>
                <w:sz w:val="16"/>
                <w:szCs w:val="16"/>
              </w:rPr>
              <w:t>Металлургическое производство и производство готовых металлических изделий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70,5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73,5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74,5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79,8</w:t>
            </w:r>
          </w:p>
        </w:tc>
        <w:tc>
          <w:tcPr>
            <w:tcW w:w="570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81,3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81,8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85,5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86,8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79,8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76,5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81,3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81,5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80,5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81,0</w:t>
            </w:r>
          </w:p>
        </w:tc>
      </w:tr>
      <w:tr w:rsidR="001F2695" w:rsidRPr="002C433A" w:rsidTr="00DE6901">
        <w:trPr>
          <w:trHeight w:val="449"/>
        </w:trPr>
        <w:tc>
          <w:tcPr>
            <w:tcW w:w="1418" w:type="dxa"/>
            <w:shd w:val="clear" w:color="FFFF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0CF0">
              <w:rPr>
                <w:bCs/>
                <w:color w:val="000000"/>
                <w:sz w:val="16"/>
                <w:szCs w:val="16"/>
              </w:rPr>
              <w:t>Производство машин и оборудования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31,3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34,0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32,8</w:t>
            </w:r>
          </w:p>
        </w:tc>
        <w:tc>
          <w:tcPr>
            <w:tcW w:w="567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33,8</w:t>
            </w:r>
          </w:p>
        </w:tc>
        <w:tc>
          <w:tcPr>
            <w:tcW w:w="570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36,0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41,6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45,1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49,9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47,3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24,1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34,8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40,8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38,2</w:t>
            </w:r>
          </w:p>
        </w:tc>
        <w:tc>
          <w:tcPr>
            <w:tcW w:w="616" w:type="dxa"/>
            <w:shd w:val="clear" w:color="99CCFF" w:fill="FFFFFF"/>
            <w:vAlign w:val="center"/>
            <w:hideMark/>
          </w:tcPr>
          <w:p w:rsidR="001F2695" w:rsidRPr="00690CF0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690CF0">
              <w:rPr>
                <w:color w:val="000000"/>
                <w:sz w:val="16"/>
                <w:szCs w:val="16"/>
              </w:rPr>
              <w:t>33,7</w:t>
            </w:r>
          </w:p>
        </w:tc>
      </w:tr>
    </w:tbl>
    <w:p w:rsidR="001F2695" w:rsidRDefault="001F2695" w:rsidP="001F2695"/>
    <w:p w:rsidR="00DE6901" w:rsidRDefault="00DE6901" w:rsidP="001F2695"/>
    <w:p w:rsidR="00DE6901" w:rsidRDefault="00DE6901" w:rsidP="00DE69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lastRenderedPageBreak/>
        <w:t>2) параметров производственной инфраструктуры, куда можно отнести не только уровень износа оборудования, но и качество ремонта, выраженное в количественной оценке простоя по причине неисправностей, отраженное на качестве продукции, но и своевременность обеспечения качественным сырьем, топливом, энергией, каналами сбыта продукции.</w:t>
      </w:r>
    </w:p>
    <w:p w:rsidR="006F5744" w:rsidRPr="006F5744" w:rsidRDefault="006F5744" w:rsidP="006F574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Коэффициент использования среднегодовой производственной мощности показывает уровень использования мощностей производства относительно потенциально возможного, согласно выбранной стратегии развития, с учетом расчетов планируемой вводимой и выбывающей мощностей с соответствующими коэффициентами. Таким образом, в случае планового сокращения производства этот коэффициент не упадет, а в случае планового повышения выпуска не вырастет и будет находиться в небольшом интервале от значения 100% т.к. все условия по увеличению и сокращению мощностей будут выполнены и отношение не изменится.</w:t>
      </w:r>
    </w:p>
    <w:p w:rsidR="006F5744" w:rsidRDefault="006F5744" w:rsidP="006F574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Style w:val="w"/>
          <w:rFonts w:ascii="Times New Roman" w:hAnsi="Times New Roman" w:cs="Times New Roman"/>
          <w:sz w:val="28"/>
          <w:szCs w:val="28"/>
        </w:rPr>
        <w:t>Индекс промышленного производства (ИПП) – показатель динамики объема промышленного производства</w:t>
      </w:r>
      <w:r w:rsidRPr="006F5744">
        <w:rPr>
          <w:rFonts w:ascii="Times New Roman" w:hAnsi="Times New Roman" w:cs="Times New Roman"/>
          <w:sz w:val="28"/>
          <w:szCs w:val="28"/>
        </w:rPr>
        <w:t xml:space="preserve">, </w:t>
      </w:r>
      <w:r w:rsidRPr="006F5744">
        <w:rPr>
          <w:rStyle w:val="w"/>
          <w:rFonts w:ascii="Times New Roman" w:hAnsi="Times New Roman" w:cs="Times New Roman"/>
          <w:sz w:val="28"/>
          <w:szCs w:val="28"/>
        </w:rPr>
        <w:t>его подъема или спада</w:t>
      </w:r>
      <w:r w:rsidRPr="006F5744">
        <w:rPr>
          <w:rFonts w:ascii="Times New Roman" w:hAnsi="Times New Roman" w:cs="Times New Roman"/>
          <w:sz w:val="28"/>
          <w:szCs w:val="28"/>
        </w:rPr>
        <w:t xml:space="preserve">, </w:t>
      </w:r>
      <w:r w:rsidRPr="006F5744">
        <w:rPr>
          <w:rStyle w:val="w"/>
          <w:rFonts w:ascii="Times New Roman" w:hAnsi="Times New Roman" w:cs="Times New Roman"/>
          <w:sz w:val="28"/>
          <w:szCs w:val="28"/>
        </w:rPr>
        <w:t>определяетсяввидеотношениятекущегообъемапроизводствавденежномвыражениикобъемупромышленногопроизводствавпредыдущемилидругомбазисномгоду</w:t>
      </w:r>
      <w:r w:rsidRPr="006F5744">
        <w:rPr>
          <w:rFonts w:ascii="Times New Roman" w:hAnsi="Times New Roman" w:cs="Times New Roman"/>
          <w:sz w:val="28"/>
          <w:szCs w:val="28"/>
        </w:rPr>
        <w:t>.</w:t>
      </w:r>
    </w:p>
    <w:p w:rsidR="006F5744" w:rsidRPr="006F5744" w:rsidRDefault="006F5744" w:rsidP="006F574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Style w:val="w"/>
          <w:rFonts w:ascii="Times New Roman" w:hAnsi="Times New Roman" w:cs="Times New Roman"/>
          <w:sz w:val="28"/>
          <w:szCs w:val="28"/>
        </w:rPr>
        <w:t xml:space="preserve">Исходя из смысла значений индекса промышленного производства и коэффициента использования среднегодовой производственной мощности определено, что уровень влияния инфраструктуры предприятия на итоговый индекс производства прямо зависит от значения </w:t>
      </w:r>
      <w:r w:rsidRPr="006F5744">
        <w:rPr>
          <w:rFonts w:ascii="Times New Roman" w:hAnsi="Times New Roman" w:cs="Times New Roman"/>
          <w:sz w:val="28"/>
          <w:szCs w:val="28"/>
        </w:rPr>
        <w:t>коэффициент использования среднегодовой производственной мощности:</w:t>
      </w:r>
    </w:p>
    <w:p w:rsidR="006F5744" w:rsidRPr="006F5744" w:rsidRDefault="006F5744" w:rsidP="006F574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Кпм&lt;100% соответствует отрицательному влиянию инфраструктуры</w:t>
      </w:r>
    </w:p>
    <w:p w:rsidR="006F5744" w:rsidRPr="006F5744" w:rsidRDefault="006F5744" w:rsidP="006F574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Кпм=100% соответствует плановому функционированию предприятия, что означает исправную работу инфраструктуры по поддержанию производственного процесса.</w:t>
      </w:r>
    </w:p>
    <w:p w:rsidR="00DE6901" w:rsidRDefault="006F5744" w:rsidP="00DE69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lastRenderedPageBreak/>
        <w:t>Кпм&gt;100% случай не рассмотрен т.к. не рассматривается возможность непредвиденного перевыполнения производственного плана.</w:t>
      </w:r>
    </w:p>
    <w:p w:rsidR="008303BB" w:rsidRDefault="001F2695" w:rsidP="008303B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03BB">
        <w:rPr>
          <w:rFonts w:ascii="Times New Roman" w:hAnsi="Times New Roman" w:cs="Times New Roman"/>
          <w:sz w:val="28"/>
          <w:szCs w:val="28"/>
        </w:rPr>
        <w:t>Таблица</w:t>
      </w:r>
      <w:r w:rsidR="00DE6901" w:rsidRPr="008303BB">
        <w:rPr>
          <w:rFonts w:ascii="Times New Roman" w:hAnsi="Times New Roman" w:cs="Times New Roman"/>
          <w:sz w:val="28"/>
          <w:szCs w:val="28"/>
        </w:rPr>
        <w:t xml:space="preserve"> </w:t>
      </w:r>
      <w:r w:rsidR="006F5744" w:rsidRPr="008303BB">
        <w:rPr>
          <w:rFonts w:ascii="Times New Roman" w:hAnsi="Times New Roman" w:cs="Times New Roman"/>
          <w:sz w:val="28"/>
          <w:szCs w:val="28"/>
        </w:rPr>
        <w:t>3. 2</w:t>
      </w:r>
      <w:r w:rsidRPr="008303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695" w:rsidRPr="008303BB" w:rsidRDefault="00DE6901" w:rsidP="00DE690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3BB">
        <w:rPr>
          <w:rFonts w:ascii="Times New Roman" w:hAnsi="Times New Roman" w:cs="Times New Roman"/>
          <w:sz w:val="28"/>
          <w:szCs w:val="28"/>
        </w:rPr>
        <w:t xml:space="preserve"> </w:t>
      </w:r>
      <w:r w:rsidR="001F2695" w:rsidRPr="008303BB">
        <w:rPr>
          <w:rFonts w:ascii="Times New Roman" w:hAnsi="Times New Roman" w:cs="Times New Roman"/>
          <w:sz w:val="28"/>
          <w:szCs w:val="28"/>
        </w:rPr>
        <w:t>Индексы производства по видам экономической д</w:t>
      </w:r>
      <w:r w:rsidR="006F5744" w:rsidRPr="008303BB">
        <w:rPr>
          <w:rFonts w:ascii="Times New Roman" w:hAnsi="Times New Roman" w:cs="Times New Roman"/>
          <w:sz w:val="28"/>
          <w:szCs w:val="28"/>
        </w:rPr>
        <w:t>еятельности РФ</w:t>
      </w:r>
    </w:p>
    <w:tbl>
      <w:tblPr>
        <w:tblW w:w="9479" w:type="dxa"/>
        <w:tblInd w:w="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465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1F2695" w:rsidRPr="00F54D8A" w:rsidTr="00DE6901">
        <w:trPr>
          <w:trHeight w:val="315"/>
        </w:trPr>
        <w:tc>
          <w:tcPr>
            <w:tcW w:w="1443" w:type="dxa"/>
            <w:shd w:val="clear" w:color="99CCFF" w:fill="FFFFFF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2001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2002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2003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2004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2005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2007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2008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2009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2010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2011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2014</w:t>
            </w:r>
          </w:p>
        </w:tc>
      </w:tr>
      <w:tr w:rsidR="001F2695" w:rsidRPr="00F54D8A" w:rsidTr="00DE6901">
        <w:trPr>
          <w:trHeight w:val="645"/>
        </w:trPr>
        <w:tc>
          <w:tcPr>
            <w:tcW w:w="1443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108,7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97,2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101,1</w:t>
            </w:r>
          </w:p>
        </w:tc>
      </w:tr>
      <w:tr w:rsidR="001F2695" w:rsidRPr="00F54D8A" w:rsidTr="00DE6901">
        <w:trPr>
          <w:trHeight w:val="960"/>
        </w:trPr>
        <w:tc>
          <w:tcPr>
            <w:tcW w:w="1443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пищевых продуктов, включая напитки, и табака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108,0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106,9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100,6</w:t>
            </w:r>
          </w:p>
        </w:tc>
      </w:tr>
      <w:tr w:rsidR="001F2695" w:rsidRPr="00F54D8A" w:rsidTr="00DE6901">
        <w:trPr>
          <w:trHeight w:val="645"/>
        </w:trPr>
        <w:tc>
          <w:tcPr>
            <w:tcW w:w="1443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текстильное и швейное производство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124,9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97,5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96,0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111,8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99,5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94,6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83,9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108,8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104,3</w:t>
            </w:r>
          </w:p>
        </w:tc>
      </w:tr>
      <w:tr w:rsidR="001F2695" w:rsidRPr="00F54D8A" w:rsidTr="00DE6901">
        <w:trPr>
          <w:trHeight w:val="960"/>
        </w:trPr>
        <w:tc>
          <w:tcPr>
            <w:tcW w:w="1443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обработка древесины и производство изделий из дерева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114,1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97,5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108,7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99,9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76,9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113,4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110,2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96,2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108,0</w:t>
            </w:r>
          </w:p>
        </w:tc>
      </w:tr>
      <w:tr w:rsidR="001F2695" w:rsidRPr="00F54D8A" w:rsidTr="00DE6901">
        <w:trPr>
          <w:trHeight w:val="1275"/>
        </w:trPr>
        <w:tc>
          <w:tcPr>
            <w:tcW w:w="1443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целлюлозно-бумажное производство; издательская и полиграфическая деятельность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118,0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109,6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108,3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84,1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106,5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94,8</w:t>
            </w:r>
          </w:p>
        </w:tc>
      </w:tr>
      <w:tr w:rsidR="001F2695" w:rsidRPr="00F54D8A" w:rsidTr="00DE6901">
        <w:trPr>
          <w:trHeight w:val="660"/>
        </w:trPr>
        <w:tc>
          <w:tcPr>
            <w:tcW w:w="1443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химическое производство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115,2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95,4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94,6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110,6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105,4</w:t>
            </w:r>
          </w:p>
        </w:tc>
      </w:tr>
      <w:tr w:rsidR="001F2695" w:rsidRPr="00F54D8A" w:rsidTr="00DE6901">
        <w:trPr>
          <w:trHeight w:val="645"/>
        </w:trPr>
        <w:tc>
          <w:tcPr>
            <w:tcW w:w="1443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резиновых и пластмассовых изделий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126,1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105,5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113,5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116,4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121,0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125,5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122,8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87,1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124,4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111,4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112,8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105,9</w:t>
            </w:r>
          </w:p>
        </w:tc>
      </w:tr>
      <w:tr w:rsidR="001F2695" w:rsidRPr="00F54D8A" w:rsidTr="00DE6901">
        <w:trPr>
          <w:trHeight w:val="960"/>
        </w:trPr>
        <w:tc>
          <w:tcPr>
            <w:tcW w:w="1443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прочих неметаллических минеральных продуктов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110,6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108,4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114,2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108,3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97,1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66,8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114,5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110,7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98,0</w:t>
            </w:r>
          </w:p>
        </w:tc>
      </w:tr>
      <w:tr w:rsidR="001F2695" w:rsidRPr="00F54D8A" w:rsidTr="00DE6901">
        <w:trPr>
          <w:trHeight w:val="1275"/>
        </w:trPr>
        <w:tc>
          <w:tcPr>
            <w:tcW w:w="1443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115,3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97,8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83,6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112,4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F2695" w:rsidRPr="00F54D8A" w:rsidTr="00DE6901">
        <w:trPr>
          <w:trHeight w:val="645"/>
        </w:trPr>
        <w:tc>
          <w:tcPr>
            <w:tcW w:w="1443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машин и оборудования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113,8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96,1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94,2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122,3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113,3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110,5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115,1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97,5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67,9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120,4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113,4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106,5</w:t>
            </w:r>
          </w:p>
        </w:tc>
        <w:tc>
          <w:tcPr>
            <w:tcW w:w="574" w:type="dxa"/>
            <w:shd w:val="clear" w:color="99CCFF" w:fill="FFFFFF"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99,3</w:t>
            </w:r>
          </w:p>
        </w:tc>
      </w:tr>
    </w:tbl>
    <w:p w:rsidR="001F2695" w:rsidRDefault="001F2695" w:rsidP="001F2695"/>
    <w:p w:rsidR="001F2695" w:rsidRDefault="001F2695" w:rsidP="001F2695"/>
    <w:p w:rsidR="001F2695" w:rsidRPr="006F5744" w:rsidRDefault="001F2695" w:rsidP="00686E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Используя архивные данные, отражающие динамику изменения ИПП и УИСПМ нескольких отраслей промышленности РФ за период 2000-2013г., проанализировано влияние, оказываемое качеством работы промышленной инфраструктуры, на промышленное производство в РФ в соответствующих отраслевых направлениях путем нахождения коэффициента корреляции имеющихся зависимостей. Проведен экстраполяционный прогноз с целью определения тенденции изменения влияния промышленной инфраструктуры на производство в ближайшем будущем.</w:t>
      </w:r>
    </w:p>
    <w:p w:rsidR="001F2695" w:rsidRPr="006F5744" w:rsidRDefault="001F2695" w:rsidP="006F5744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Определение коэффициента корреляции</w:t>
      </w:r>
    </w:p>
    <w:p w:rsidR="001F2695" w:rsidRPr="006F5744" w:rsidRDefault="001F2695" w:rsidP="006F57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Произведены расчёты коэффициента корреляции (</w:t>
      </w:r>
      <w:r w:rsidRPr="006F574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5744">
        <w:rPr>
          <w:rFonts w:ascii="Times New Roman" w:hAnsi="Times New Roman" w:cs="Times New Roman"/>
          <w:sz w:val="28"/>
          <w:szCs w:val="28"/>
        </w:rPr>
        <w:t>пп) между процессами изменения УИСПМ и ИПП.</w:t>
      </w:r>
    </w:p>
    <w:p w:rsidR="001F2695" w:rsidRPr="006F5744" w:rsidRDefault="00163E0A" w:rsidP="006F5744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ПП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ПМ</m:t>
                </m:r>
              </m:sub>
            </m:sSub>
          </m:e>
        </m:d>
      </m:oMath>
      <w:r w:rsidR="001F2695" w:rsidRPr="006F5744">
        <w:rPr>
          <w:rFonts w:ascii="Times New Roman" w:hAnsi="Times New Roman" w:cs="Times New Roman"/>
          <w:i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ПП</m:t>
            </m:r>
          </m:sub>
        </m:sSub>
      </m:oMath>
      <w:r w:rsidR="001F2695" w:rsidRPr="006F5744">
        <w:rPr>
          <w:rFonts w:ascii="Times New Roman" w:hAnsi="Times New Roman" w:cs="Times New Roman"/>
          <w:i/>
          <w:sz w:val="28"/>
          <w:szCs w:val="28"/>
        </w:rPr>
        <w:t xml:space="preserve"> – ИПП,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ПМ</m:t>
            </m:r>
          </m:sub>
        </m:sSub>
      </m:oMath>
      <w:r w:rsidR="001F2695" w:rsidRPr="006F5744">
        <w:rPr>
          <w:rFonts w:ascii="Times New Roman" w:hAnsi="Times New Roman" w:cs="Times New Roman"/>
          <w:i/>
          <w:sz w:val="28"/>
          <w:szCs w:val="28"/>
        </w:rPr>
        <w:t xml:space="preserve"> – УИСПМ;</w:t>
      </w:r>
    </w:p>
    <w:p w:rsidR="001F2695" w:rsidRPr="006F5744" w:rsidRDefault="001F2695" w:rsidP="006F57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Определены средние значения по времени:</w:t>
      </w:r>
    </w:p>
    <w:p w:rsidR="001F2695" w:rsidRPr="006F5744" w:rsidRDefault="00163E0A" w:rsidP="006F57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ПМ</m:t>
                </m:r>
              </m:sub>
            </m:sSub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1F2695" w:rsidRPr="006F5744">
        <w:rPr>
          <w:rFonts w:ascii="Times New Roman" w:hAnsi="Times New Roman" w:cs="Times New Roman"/>
          <w:sz w:val="28"/>
          <w:szCs w:val="28"/>
        </w:rPr>
        <w:t xml:space="preserve">,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ПП</m:t>
                </m:r>
              </m:sub>
            </m:sSub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1F2695" w:rsidRPr="006F5744">
        <w:rPr>
          <w:rFonts w:ascii="Times New Roman" w:hAnsi="Times New Roman" w:cs="Times New Roman"/>
          <w:sz w:val="28"/>
          <w:szCs w:val="28"/>
        </w:rPr>
        <w:t xml:space="preserve">,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color w:val="333333"/>
                <w:sz w:val="28"/>
                <w:szCs w:val="28"/>
                <w:shd w:val="clear" w:color="auto" w:fill="FFFFFF"/>
              </w:rPr>
              <m:t>I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1F2695" w:rsidRPr="006F5744">
        <w:rPr>
          <w:rFonts w:ascii="Times New Roman" w:hAnsi="Times New Roman" w:cs="Times New Roman"/>
          <w:sz w:val="28"/>
          <w:szCs w:val="28"/>
        </w:rPr>
        <w:t xml:space="preserve">, где </w:t>
      </w:r>
      <w:r w:rsidR="001F2695" w:rsidRPr="006F574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F2695" w:rsidRPr="006F5744">
        <w:rPr>
          <w:rFonts w:ascii="Times New Roman" w:hAnsi="Times New Roman" w:cs="Times New Roman"/>
          <w:sz w:val="28"/>
          <w:szCs w:val="28"/>
        </w:rPr>
        <w:t xml:space="preserve">–размер выборки,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,  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1F2695" w:rsidRPr="006F5744">
        <w:rPr>
          <w:rFonts w:ascii="Times New Roman" w:hAnsi="Times New Roman" w:cs="Times New Roman"/>
          <w:sz w:val="28"/>
          <w:szCs w:val="28"/>
        </w:rPr>
        <w:t xml:space="preserve"> – </w:t>
      </w:r>
      <w:r w:rsidR="001F2695" w:rsidRPr="006F574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2695" w:rsidRPr="006F5744">
        <w:rPr>
          <w:rFonts w:ascii="Times New Roman" w:hAnsi="Times New Roman" w:cs="Times New Roman"/>
          <w:sz w:val="28"/>
          <w:szCs w:val="28"/>
        </w:rPr>
        <w:t>-тые значения выборки;</w:t>
      </w:r>
    </w:p>
    <w:p w:rsidR="001F2695" w:rsidRPr="006F5744" w:rsidRDefault="001F2695" w:rsidP="006F57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Дисперсии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Pr="006F5744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6F5744">
        <w:rPr>
          <w:rFonts w:ascii="Times New Roman" w:hAnsi="Times New Roman" w:cs="Times New Roman"/>
          <w:sz w:val="28"/>
          <w:szCs w:val="28"/>
        </w:rPr>
        <w:t>:</w:t>
      </w:r>
      <w:r w:rsidR="0085363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</m:acc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6F5744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</m:acc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6F5744">
        <w:rPr>
          <w:rFonts w:ascii="Times New Roman" w:hAnsi="Times New Roman" w:cs="Times New Roman"/>
          <w:sz w:val="28"/>
          <w:szCs w:val="28"/>
        </w:rPr>
        <w:t>;</w:t>
      </w:r>
    </w:p>
    <w:p w:rsidR="001F2695" w:rsidRPr="006F5744" w:rsidRDefault="001F2695" w:rsidP="006F57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Среднеквадратические отклонения:</w:t>
      </w:r>
      <w:r w:rsidR="0085363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>σ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e>
        </m:rad>
      </m:oMath>
      <w:r w:rsidRPr="006F574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>σ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rad>
      </m:oMath>
      <w:r w:rsidRPr="006F5744">
        <w:rPr>
          <w:rFonts w:ascii="Times New Roman" w:hAnsi="Times New Roman" w:cs="Times New Roman"/>
          <w:sz w:val="28"/>
          <w:szCs w:val="28"/>
        </w:rPr>
        <w:t>;</w:t>
      </w:r>
    </w:p>
    <w:p w:rsidR="001F2695" w:rsidRPr="00853639" w:rsidRDefault="001F2695" w:rsidP="006F57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Коэффициент корреляции</w:t>
      </w:r>
      <w:r w:rsidR="0085363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KI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color w:val="333333"/>
                    <w:sz w:val="28"/>
                    <w:szCs w:val="28"/>
                    <w:shd w:val="clear" w:color="auto" w:fill="FFFFFF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333333"/>
                    <w:sz w:val="28"/>
                    <w:szCs w:val="28"/>
                    <w:shd w:val="clear" w:color="auto" w:fill="FFFFFF"/>
                  </w:rPr>
                  <m:t>I</m:t>
                </m:r>
              </m:e>
            </m:acc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</m:acc>
            <m:r>
              <m:rPr>
                <m:sty m:val="p"/>
              </m:r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m:t>∙</m:t>
            </m:r>
            <m:acc>
              <m:accPr>
                <m:chr m:val="̅"/>
                <m:ctrlPr>
                  <w:rPr>
                    <w:rFonts w:ascii="Cambria Math" w:hAnsi="Times New Roman" w:cs="Times New Roman"/>
                    <w:color w:val="333333"/>
                    <w:sz w:val="28"/>
                    <w:szCs w:val="28"/>
                    <w:shd w:val="clear" w:color="auto" w:fill="FFFFFF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333333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</m:e>
            </m:acc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σ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</m:d>
            <m:r>
              <m:rPr>
                <m:sty m:val="p"/>
              </m:r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σ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</m:d>
          </m:den>
        </m:f>
      </m:oMath>
      <w:r w:rsidRPr="006F5744">
        <w:rPr>
          <w:rFonts w:ascii="Times New Roman" w:hAnsi="Times New Roman" w:cs="Times New Roman"/>
          <w:i/>
          <w:sz w:val="28"/>
          <w:szCs w:val="28"/>
        </w:rPr>
        <w:t xml:space="preserve">, где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color w:val="333333"/>
                <w:sz w:val="28"/>
                <w:szCs w:val="28"/>
                <w:shd w:val="clear" w:color="auto" w:fill="FFFFFF"/>
              </w:rPr>
              <m:t>I</m:t>
            </m:r>
          </m:e>
        </m:acc>
      </m:oMath>
      <w:r w:rsidRPr="006F5744">
        <w:rPr>
          <w:rFonts w:ascii="Times New Roman" w:hAnsi="Times New Roman" w:cs="Times New Roman"/>
          <w:i/>
          <w:sz w:val="28"/>
          <w:szCs w:val="28"/>
        </w:rPr>
        <w:t>,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</m:acc>
      </m:oMath>
      <w:r w:rsidRPr="006F5744">
        <w:rPr>
          <w:rFonts w:ascii="Times New Roman" w:hAnsi="Times New Roman" w:cs="Times New Roman"/>
          <w:i/>
          <w:sz w:val="28"/>
          <w:szCs w:val="28"/>
        </w:rPr>
        <w:t xml:space="preserve">, </w:t>
      </w:r>
      <m:oMath>
        <m:acc>
          <m:accPr>
            <m:chr m:val="̅"/>
            <m:ctrlPr>
              <w:rPr>
                <w:rFonts w:ascii="Cambria Math" w:hAnsi="Times New Roman" w:cs="Times New Roman"/>
                <w:color w:val="333333"/>
                <w:sz w:val="28"/>
                <w:szCs w:val="28"/>
                <w:shd w:val="clear" w:color="auto" w:fill="FFFFFF"/>
              </w:rPr>
            </m:ctrlPr>
          </m:accPr>
          <m:e>
            <m:r>
              <w:rPr>
                <w:rFonts w:ascii="Cambria Math" w:hAnsi="Cambria Math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m:t>I</m:t>
            </m:r>
          </m:e>
        </m:acc>
      </m:oMath>
      <w:r w:rsidRPr="006F574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- средние значение выборок;</w:t>
      </w:r>
      <m:oMath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>σ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</m:d>
      </m:oMath>
      <w:r w:rsidRPr="006F5744">
        <w:rPr>
          <w:rFonts w:ascii="Times New Roman" w:hAnsi="Times New Roman" w:cs="Times New Roman"/>
          <w:i/>
          <w:sz w:val="28"/>
          <w:szCs w:val="28"/>
        </w:rPr>
        <w:t xml:space="preserve">, </w:t>
      </w:r>
      <m:oMath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>σ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</m:d>
      </m:oMath>
      <w:r w:rsidRPr="006F5744">
        <w:rPr>
          <w:rFonts w:ascii="Times New Roman" w:hAnsi="Times New Roman" w:cs="Times New Roman"/>
          <w:i/>
          <w:sz w:val="28"/>
          <w:szCs w:val="28"/>
        </w:rPr>
        <w:t xml:space="preserve"> – среднеквадратические отклонения.</w:t>
      </w:r>
    </w:p>
    <w:p w:rsidR="001F2695" w:rsidRDefault="00163E0A" w:rsidP="006F5744">
      <w:pPr>
        <w:spacing w:after="100" w:afterAutospacing="1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KI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∈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1;1</m:t>
            </m:r>
          </m:e>
        </m:d>
      </m:oMath>
      <w:r w:rsidR="001F2695" w:rsidRPr="006F5744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:rsidR="00853639" w:rsidRDefault="00853639" w:rsidP="006F5744">
      <w:pPr>
        <w:spacing w:after="100" w:afterAutospacing="1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3639" w:rsidRPr="00853639" w:rsidRDefault="00853639" w:rsidP="006F5744">
      <w:pPr>
        <w:spacing w:after="100" w:afterAutospacing="1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5744" w:rsidRPr="006F5744" w:rsidRDefault="006F5744" w:rsidP="006F5744">
      <w:pPr>
        <w:spacing w:before="120" w:after="120"/>
        <w:jc w:val="right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Таблица 3.</w:t>
      </w:r>
      <w:r w:rsidR="008303BB">
        <w:rPr>
          <w:rFonts w:ascii="Times New Roman" w:hAnsi="Times New Roman" w:cs="Times New Roman"/>
          <w:sz w:val="28"/>
          <w:szCs w:val="28"/>
        </w:rPr>
        <w:t>3</w:t>
      </w:r>
      <w:r w:rsidRPr="006F57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744" w:rsidRPr="006F5744" w:rsidRDefault="006F5744" w:rsidP="006F5744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Результаты расчетов</w:t>
      </w:r>
    </w:p>
    <w:tbl>
      <w:tblPr>
        <w:tblW w:w="93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1141"/>
        <w:gridCol w:w="1063"/>
        <w:gridCol w:w="1134"/>
        <w:gridCol w:w="739"/>
        <w:gridCol w:w="828"/>
        <w:gridCol w:w="718"/>
        <w:gridCol w:w="828"/>
        <w:gridCol w:w="895"/>
      </w:tblGrid>
      <w:tr w:rsidR="001F2695" w:rsidTr="00DE6901">
        <w:trPr>
          <w:trHeight w:val="315"/>
        </w:trPr>
        <w:tc>
          <w:tcPr>
            <w:tcW w:w="2000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Ср. зн. K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Ср. зн. 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Ср. зн. KI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D(K)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D(I)</w:t>
            </w:r>
          </w:p>
        </w:tc>
        <w:tc>
          <w:tcPr>
            <w:tcW w:w="71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σ(K)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σ(I)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KI</m:t>
                    </m:r>
                  </m:sub>
                </m:sSub>
              </m:oMath>
            </m:oMathPara>
          </w:p>
        </w:tc>
      </w:tr>
      <w:tr w:rsidR="001F2695" w:rsidTr="00DE6901">
        <w:trPr>
          <w:trHeight w:val="330"/>
        </w:trPr>
        <w:tc>
          <w:tcPr>
            <w:tcW w:w="2000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7369,443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9,5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3,75</w:t>
            </w:r>
          </w:p>
        </w:tc>
        <w:tc>
          <w:tcPr>
            <w:tcW w:w="82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3,08</w:t>
            </w:r>
          </w:p>
        </w:tc>
        <w:tc>
          <w:tcPr>
            <w:tcW w:w="895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0,341</w:t>
            </w:r>
          </w:p>
        </w:tc>
      </w:tr>
      <w:tr w:rsidR="001F2695" w:rsidTr="00DE6901">
        <w:trPr>
          <w:trHeight w:val="435"/>
        </w:trPr>
        <w:tc>
          <w:tcPr>
            <w:tcW w:w="2000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52,0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5449,396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11,9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6,2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3,45</w:t>
            </w:r>
          </w:p>
        </w:tc>
        <w:tc>
          <w:tcPr>
            <w:tcW w:w="82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2,49</w:t>
            </w:r>
          </w:p>
        </w:tc>
        <w:tc>
          <w:tcPr>
            <w:tcW w:w="895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-0,221</w:t>
            </w:r>
          </w:p>
        </w:tc>
      </w:tr>
      <w:tr w:rsidR="001F2695" w:rsidTr="00DE6901">
        <w:trPr>
          <w:trHeight w:val="435"/>
        </w:trPr>
        <w:tc>
          <w:tcPr>
            <w:tcW w:w="2000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текстильное и швейное производство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47,6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4856,621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37,9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82,4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6,16</w:t>
            </w:r>
          </w:p>
        </w:tc>
        <w:tc>
          <w:tcPr>
            <w:tcW w:w="82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9,07</w:t>
            </w:r>
          </w:p>
        </w:tc>
        <w:tc>
          <w:tcPr>
            <w:tcW w:w="895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-0,460</w:t>
            </w:r>
          </w:p>
        </w:tc>
      </w:tr>
      <w:tr w:rsidR="001F2695" w:rsidTr="00DE6901">
        <w:trPr>
          <w:trHeight w:val="435"/>
        </w:trPr>
        <w:tc>
          <w:tcPr>
            <w:tcW w:w="2000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обработка древесины и производство изделий из дерева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57,4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5982,493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20,2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84,2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4,49</w:t>
            </w:r>
          </w:p>
        </w:tc>
        <w:tc>
          <w:tcPr>
            <w:tcW w:w="82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9,18</w:t>
            </w:r>
          </w:p>
        </w:tc>
        <w:tc>
          <w:tcPr>
            <w:tcW w:w="895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0,222</w:t>
            </w:r>
          </w:p>
        </w:tc>
      </w:tr>
      <w:tr w:rsidR="001F2695" w:rsidTr="00DE6901">
        <w:trPr>
          <w:trHeight w:val="645"/>
        </w:trPr>
        <w:tc>
          <w:tcPr>
            <w:tcW w:w="2000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целлюлозно-бумажное производство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80,2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8344,129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55,2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3,93</w:t>
            </w:r>
          </w:p>
        </w:tc>
        <w:tc>
          <w:tcPr>
            <w:tcW w:w="82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7,43</w:t>
            </w:r>
          </w:p>
        </w:tc>
        <w:tc>
          <w:tcPr>
            <w:tcW w:w="895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-0,290</w:t>
            </w:r>
          </w:p>
        </w:tc>
      </w:tr>
      <w:tr w:rsidR="001F2695" w:rsidTr="00DE6901">
        <w:trPr>
          <w:trHeight w:val="385"/>
        </w:trPr>
        <w:tc>
          <w:tcPr>
            <w:tcW w:w="2000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химическое производство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70,3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7343,016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27,9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28,9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5,28</w:t>
            </w:r>
          </w:p>
        </w:tc>
        <w:tc>
          <w:tcPr>
            <w:tcW w:w="82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5,37</w:t>
            </w:r>
          </w:p>
        </w:tc>
        <w:tc>
          <w:tcPr>
            <w:tcW w:w="895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0,041</w:t>
            </w:r>
          </w:p>
        </w:tc>
      </w:tr>
      <w:tr w:rsidR="001F2695" w:rsidTr="00DE6901">
        <w:trPr>
          <w:trHeight w:val="405"/>
        </w:trPr>
        <w:tc>
          <w:tcPr>
            <w:tcW w:w="2000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резиновых и пластмассовых изделий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62,7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7080,375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42,3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121,4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6,51</w:t>
            </w:r>
          </w:p>
        </w:tc>
        <w:tc>
          <w:tcPr>
            <w:tcW w:w="82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11,02</w:t>
            </w:r>
          </w:p>
        </w:tc>
        <w:tc>
          <w:tcPr>
            <w:tcW w:w="895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0,455</w:t>
            </w:r>
          </w:p>
        </w:tc>
      </w:tr>
      <w:tr w:rsidR="001F2695" w:rsidTr="00DE6901">
        <w:trPr>
          <w:trHeight w:val="600"/>
        </w:trPr>
        <w:tc>
          <w:tcPr>
            <w:tcW w:w="2000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прочих неметаллических минеральных продуктов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53,1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5541,168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54,2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131,3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7,36</w:t>
            </w:r>
          </w:p>
        </w:tc>
        <w:tc>
          <w:tcPr>
            <w:tcW w:w="82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11,46</w:t>
            </w:r>
          </w:p>
        </w:tc>
        <w:tc>
          <w:tcPr>
            <w:tcW w:w="895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0,296</w:t>
            </w:r>
          </w:p>
        </w:tc>
      </w:tr>
      <w:tr w:rsidR="001F2695" w:rsidTr="00DE6901">
        <w:trPr>
          <w:trHeight w:val="600"/>
        </w:trPr>
        <w:tc>
          <w:tcPr>
            <w:tcW w:w="2000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79,6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8315,293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18,4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52,0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4,29</w:t>
            </w:r>
          </w:p>
        </w:tc>
        <w:tc>
          <w:tcPr>
            <w:tcW w:w="82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7,21</w:t>
            </w:r>
          </w:p>
        </w:tc>
        <w:tc>
          <w:tcPr>
            <w:tcW w:w="895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0,021</w:t>
            </w:r>
          </w:p>
        </w:tc>
      </w:tr>
      <w:tr w:rsidR="001F2695" w:rsidTr="00DE6901">
        <w:trPr>
          <w:trHeight w:val="601"/>
        </w:trPr>
        <w:tc>
          <w:tcPr>
            <w:tcW w:w="2000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машин и оборудования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37,4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4034,357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44,7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208,5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6,69</w:t>
            </w:r>
          </w:p>
        </w:tc>
        <w:tc>
          <w:tcPr>
            <w:tcW w:w="828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14,44</w:t>
            </w:r>
          </w:p>
        </w:tc>
        <w:tc>
          <w:tcPr>
            <w:tcW w:w="895" w:type="dxa"/>
            <w:shd w:val="clear" w:color="auto" w:fill="auto"/>
            <w:noWrap/>
            <w:vAlign w:val="bottom"/>
            <w:hideMark/>
          </w:tcPr>
          <w:p w:rsidR="001F2695" w:rsidRDefault="001F2695" w:rsidP="00DE69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0,417</w:t>
            </w:r>
          </w:p>
        </w:tc>
      </w:tr>
    </w:tbl>
    <w:p w:rsidR="006F5744" w:rsidRDefault="006F5744" w:rsidP="001F2695">
      <w:pPr>
        <w:spacing w:after="120"/>
      </w:pPr>
    </w:p>
    <w:p w:rsidR="006F5744" w:rsidRPr="006F5744" w:rsidRDefault="006F5744" w:rsidP="006F574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 xml:space="preserve">Анализ связей между изменением УИСПМ и ИПП по шкале Чеддока показывает, что в ряде рассмотренных случаев присутствует зависимость. В случаях, где получена весьма слабая зависимость, на основании исходных данных, сделан вывод, что внешние воздействия повлияли на план промышленного производства и оказали существенно более сильноевлияние на ИПП, чем промышленная инфраструктура, выраженное в убывании/увеличении УИСПМ. В случаях, где прослеживается обратная связь, это объяснимо попытками руководства предприятий снизить потери ИПП путем поднятия уровня качества работы промышленной </w:t>
      </w:r>
      <w:r w:rsidRPr="006F5744">
        <w:rPr>
          <w:rFonts w:ascii="Times New Roman" w:hAnsi="Times New Roman" w:cs="Times New Roman"/>
          <w:sz w:val="28"/>
          <w:szCs w:val="28"/>
        </w:rPr>
        <w:lastRenderedPageBreak/>
        <w:t xml:space="preserve">инфраструктуры и эффективности производства, что выражается в увеличении УИСПМ. В таких видах деятельности, как производство машин и оборудования, производство резиновых и пластмассовых изделий, получена умеренная прямая зависимость между динамикой развития промышленной инфраструктуры предприятий и итоговым ИПП. </w:t>
      </w:r>
    </w:p>
    <w:p w:rsidR="008303BB" w:rsidRDefault="006F5744" w:rsidP="008303BB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3.4</w:t>
      </w:r>
    </w:p>
    <w:p w:rsidR="006F5744" w:rsidRPr="006F5744" w:rsidRDefault="008303BB" w:rsidP="008303BB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расчетов а</w:t>
      </w:r>
      <w:r w:rsidR="006F5744">
        <w:rPr>
          <w:rFonts w:ascii="Times New Roman" w:hAnsi="Times New Roman" w:cs="Times New Roman"/>
          <w:sz w:val="28"/>
          <w:szCs w:val="28"/>
        </w:rPr>
        <w:t>нализ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6F5744">
        <w:rPr>
          <w:rFonts w:ascii="Times New Roman" w:hAnsi="Times New Roman" w:cs="Times New Roman"/>
          <w:sz w:val="28"/>
          <w:szCs w:val="28"/>
        </w:rPr>
        <w:t xml:space="preserve"> связи по шкале Челдока</w:t>
      </w:r>
    </w:p>
    <w:tbl>
      <w:tblPr>
        <w:tblW w:w="94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2"/>
        <w:gridCol w:w="1985"/>
        <w:gridCol w:w="3118"/>
        <w:gridCol w:w="1309"/>
      </w:tblGrid>
      <w:tr w:rsidR="001F2695" w:rsidTr="006F5744">
        <w:trPr>
          <w:trHeight w:val="315"/>
        </w:trPr>
        <w:tc>
          <w:tcPr>
            <w:tcW w:w="2992" w:type="dxa"/>
            <w:vAlign w:val="center"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Вид деятельности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Оценка связи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Вид деятельности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Оценка связи</w:t>
            </w:r>
          </w:p>
        </w:tc>
      </w:tr>
      <w:tr w:rsidR="001F2695" w:rsidTr="006F5744">
        <w:trPr>
          <w:trHeight w:val="330"/>
        </w:trPr>
        <w:tc>
          <w:tcPr>
            <w:tcW w:w="2992" w:type="dxa"/>
            <w:vAlign w:val="center"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умеренная прямая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химическое производство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весьма слабая</w:t>
            </w:r>
          </w:p>
        </w:tc>
      </w:tr>
      <w:tr w:rsidR="001F2695" w:rsidTr="006F5744">
        <w:trPr>
          <w:trHeight w:val="435"/>
        </w:trPr>
        <w:tc>
          <w:tcPr>
            <w:tcW w:w="2992" w:type="dxa"/>
            <w:vAlign w:val="center"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пищевых продуктов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слабая обратная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резиновых и пластмассовых изделий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умеренная прямая</w:t>
            </w:r>
          </w:p>
        </w:tc>
      </w:tr>
      <w:tr w:rsidR="001F2695" w:rsidTr="006F5744">
        <w:trPr>
          <w:trHeight w:val="435"/>
        </w:trPr>
        <w:tc>
          <w:tcPr>
            <w:tcW w:w="2992" w:type="dxa"/>
            <w:vAlign w:val="center"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текстильное и швейное производство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умеренная обратная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прочих неметаллических минеральных продуктов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слабая прямая</w:t>
            </w:r>
          </w:p>
        </w:tc>
      </w:tr>
      <w:tr w:rsidR="001F2695" w:rsidTr="006F5744">
        <w:trPr>
          <w:trHeight w:val="435"/>
        </w:trPr>
        <w:tc>
          <w:tcPr>
            <w:tcW w:w="2992" w:type="dxa"/>
            <w:vAlign w:val="center"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обработка древесины и производство изделий из дерева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слабая прямая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весьма слабая</w:t>
            </w:r>
          </w:p>
        </w:tc>
      </w:tr>
      <w:tr w:rsidR="001F2695" w:rsidTr="006F5744">
        <w:trPr>
          <w:trHeight w:val="645"/>
        </w:trPr>
        <w:tc>
          <w:tcPr>
            <w:tcW w:w="2992" w:type="dxa"/>
            <w:vAlign w:val="center"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целлюлозно-бумажное производство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слабая обратная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машин и оборудования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1F2695" w:rsidRPr="006F5744" w:rsidRDefault="001F2695" w:rsidP="00DE6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744">
              <w:rPr>
                <w:rFonts w:ascii="Times New Roman" w:hAnsi="Times New Roman" w:cs="Times New Roman"/>
                <w:sz w:val="20"/>
                <w:szCs w:val="20"/>
              </w:rPr>
              <w:t>умеренная прямая</w:t>
            </w:r>
          </w:p>
        </w:tc>
      </w:tr>
    </w:tbl>
    <w:p w:rsidR="008303BB" w:rsidRDefault="008303BB" w:rsidP="008303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303BB" w:rsidRDefault="001F2695" w:rsidP="008303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5744">
        <w:rPr>
          <w:rFonts w:ascii="Times New Roman" w:hAnsi="Times New Roman" w:cs="Times New Roman"/>
          <w:sz w:val="28"/>
          <w:szCs w:val="28"/>
        </w:rPr>
        <w:t>Уравнения линейной регрессии:</w:t>
      </w:r>
      <w:r w:rsidR="009F673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KI</m:t>
            </m:r>
          </m:sub>
        </m:sSub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</m:acc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σ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</m:d>
          </m:den>
        </m:f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>σ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</m:acc>
      </m:oMath>
      <w:r w:rsidR="00853639">
        <w:rPr>
          <w:rFonts w:ascii="Times New Roman" w:hAnsi="Times New Roman" w:cs="Times New Roman"/>
          <w:sz w:val="28"/>
          <w:szCs w:val="28"/>
        </w:rPr>
        <w:tab/>
      </w:r>
    </w:p>
    <w:p w:rsidR="008303BB" w:rsidRDefault="008303BB" w:rsidP="008303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303BB" w:rsidRDefault="008303BB" w:rsidP="008303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303BB" w:rsidRDefault="008303BB" w:rsidP="008303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303BB" w:rsidRDefault="008303BB" w:rsidP="008303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303BB" w:rsidRDefault="008303BB" w:rsidP="008303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303BB" w:rsidRDefault="008303BB" w:rsidP="008303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303BB" w:rsidRDefault="00853639" w:rsidP="008303B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F2695" w:rsidRPr="006F574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124EB">
        <w:rPr>
          <w:rFonts w:ascii="Times New Roman" w:hAnsi="Times New Roman" w:cs="Times New Roman"/>
          <w:sz w:val="28"/>
          <w:szCs w:val="28"/>
        </w:rPr>
        <w:t>3.</w:t>
      </w:r>
      <w:r w:rsidR="001F2695" w:rsidRPr="006F5744">
        <w:rPr>
          <w:rFonts w:ascii="Times New Roman" w:hAnsi="Times New Roman" w:cs="Times New Roman"/>
          <w:sz w:val="28"/>
          <w:szCs w:val="28"/>
        </w:rPr>
        <w:t>5</w:t>
      </w:r>
      <w:r w:rsidR="009F67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695" w:rsidRPr="009F6730" w:rsidRDefault="008303BB" w:rsidP="008303B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 расчетов уравнений</w:t>
      </w:r>
      <w:r w:rsidR="001F2695" w:rsidRPr="006F5744">
        <w:rPr>
          <w:rFonts w:ascii="Times New Roman" w:hAnsi="Times New Roman" w:cs="Times New Roman"/>
          <w:sz w:val="28"/>
          <w:szCs w:val="28"/>
        </w:rPr>
        <w:t xml:space="preserve"> линейной регрессии</w:t>
      </w:r>
    </w:p>
    <w:tbl>
      <w:tblPr>
        <w:tblW w:w="95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3"/>
        <w:gridCol w:w="2656"/>
        <w:gridCol w:w="2094"/>
        <w:gridCol w:w="2517"/>
      </w:tblGrid>
      <w:tr w:rsidR="001F2695" w:rsidTr="00DE6901">
        <w:trPr>
          <w:trHeight w:val="315"/>
        </w:trPr>
        <w:tc>
          <w:tcPr>
            <w:tcW w:w="2283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деятельности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Уравнение регрессии</w:t>
            </w:r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деятельности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Уравнение регрессии</w:t>
            </w:r>
          </w:p>
        </w:tc>
      </w:tr>
      <w:tr w:rsidR="001F2695" w:rsidTr="00DE6901">
        <w:trPr>
          <w:trHeight w:val="330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=0,28K+103,11</m:t>
                </m:r>
              </m:oMath>
            </m:oMathPara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химическое производство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=0,04K+104,44</m:t>
                </m:r>
              </m:oMath>
            </m:oMathPara>
          </w:p>
        </w:tc>
      </w:tr>
      <w:tr w:rsidR="001F2695" w:rsidTr="00DE6901">
        <w:trPr>
          <w:trHeight w:val="43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=-0,16K+104,95</m:t>
                </m:r>
              </m:oMath>
            </m:oMathPara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резиновых и пластмассовых изделий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=0,77K+111,67</m:t>
                </m:r>
              </m:oMath>
            </m:oMathPara>
          </w:p>
        </w:tc>
      </w:tr>
      <w:tr w:rsidR="001F2695" w:rsidTr="00DE6901">
        <w:trPr>
          <w:trHeight w:val="43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текстильное и швейное производство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=-0,68K+103,21</m:t>
                </m:r>
              </m:oMath>
            </m:oMathPara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прочих неметаллических минеральных продуктов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=0,46K+103,34</m:t>
                </m:r>
              </m:oMath>
            </m:oMathPara>
          </w:p>
        </w:tc>
      </w:tr>
      <w:tr w:rsidR="001F2695" w:rsidTr="00DE6901">
        <w:trPr>
          <w:trHeight w:val="43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обработка древесины и производство изделий из дерева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=0,45K+103,65</m:t>
                </m:r>
              </m:oMath>
            </m:oMathPara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=0,04K+104,46</m:t>
                </m:r>
              </m:oMath>
            </m:oMathPara>
          </w:p>
        </w:tc>
      </w:tr>
      <w:tr w:rsidR="001F2695" w:rsidTr="00DE6901">
        <w:trPr>
          <w:trHeight w:val="64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целлюлозно-бумажное производство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=-0,55K+104,68</m:t>
                </m:r>
              </m:oMath>
            </m:oMathPara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машин и оборудования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=0,9K+105,93</m:t>
                </m:r>
              </m:oMath>
            </m:oMathPara>
          </w:p>
        </w:tc>
      </w:tr>
    </w:tbl>
    <w:p w:rsidR="008303BB" w:rsidRDefault="008303BB" w:rsidP="00853639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8303BB" w:rsidRDefault="001F2695" w:rsidP="008303BB">
      <w:pPr>
        <w:spacing w:before="120" w:after="120"/>
        <w:jc w:val="right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124EB">
        <w:rPr>
          <w:rFonts w:ascii="Times New Roman" w:hAnsi="Times New Roman" w:cs="Times New Roman"/>
          <w:sz w:val="28"/>
          <w:szCs w:val="28"/>
        </w:rPr>
        <w:t>3.</w:t>
      </w:r>
      <w:r w:rsidRPr="00A124EB">
        <w:rPr>
          <w:rFonts w:ascii="Times New Roman" w:hAnsi="Times New Roman" w:cs="Times New Roman"/>
          <w:sz w:val="28"/>
          <w:szCs w:val="28"/>
        </w:rPr>
        <w:t>6</w:t>
      </w:r>
    </w:p>
    <w:p w:rsidR="001F2695" w:rsidRPr="008303BB" w:rsidRDefault="008303BB" w:rsidP="008303BB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итоговых расчетов коэффициентов</w:t>
      </w:r>
      <w:r w:rsidR="001F2695" w:rsidRPr="00A124EB">
        <w:rPr>
          <w:rFonts w:ascii="Times New Roman" w:hAnsi="Times New Roman" w:cs="Times New Roman"/>
          <w:sz w:val="28"/>
          <w:szCs w:val="28"/>
        </w:rPr>
        <w:t xml:space="preserve"> регрессии</w:t>
      </w:r>
      <w:r>
        <w:rPr>
          <w:rFonts w:ascii="Times New Roman" w:hAnsi="Times New Roman" w:cs="Times New Roman"/>
          <w:sz w:val="28"/>
          <w:szCs w:val="28"/>
        </w:rPr>
        <w:t xml:space="preserve"> по отраслям</w:t>
      </w:r>
    </w:p>
    <w:tbl>
      <w:tblPr>
        <w:tblW w:w="95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5"/>
        <w:gridCol w:w="1701"/>
        <w:gridCol w:w="3544"/>
        <w:gridCol w:w="1880"/>
      </w:tblGrid>
      <w:tr w:rsidR="001F2695" w:rsidTr="00853639">
        <w:trPr>
          <w:trHeight w:val="315"/>
        </w:trPr>
        <w:tc>
          <w:tcPr>
            <w:tcW w:w="2425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деятельности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Коэф. регрессии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деятельности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Коэф. регрессии</w:t>
            </w:r>
          </w:p>
        </w:tc>
      </w:tr>
      <w:tr w:rsidR="001F2695" w:rsidTr="00853639">
        <w:trPr>
          <w:trHeight w:val="330"/>
        </w:trPr>
        <w:tc>
          <w:tcPr>
            <w:tcW w:w="2425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0,28</m:t>
                </m:r>
              </m:oMath>
            </m:oMathPara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химическое производство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0,04</m:t>
                </m:r>
              </m:oMath>
            </m:oMathPara>
          </w:p>
        </w:tc>
      </w:tr>
      <w:tr w:rsidR="001F2695" w:rsidTr="00853639">
        <w:trPr>
          <w:trHeight w:val="435"/>
        </w:trPr>
        <w:tc>
          <w:tcPr>
            <w:tcW w:w="2425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-0,16</m:t>
                </m:r>
              </m:oMath>
            </m:oMathPara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резиновых и пластмассовых изделий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0,77</m:t>
                </m:r>
              </m:oMath>
            </m:oMathPara>
          </w:p>
        </w:tc>
      </w:tr>
      <w:tr w:rsidR="001F2695" w:rsidTr="00853639">
        <w:trPr>
          <w:trHeight w:val="435"/>
        </w:trPr>
        <w:tc>
          <w:tcPr>
            <w:tcW w:w="2425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текстильное и швейное производство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-0,68</m:t>
                </m:r>
              </m:oMath>
            </m:oMathPara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прочих неметаллических минеральных продуктов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0,46</m:t>
                </m:r>
              </m:oMath>
            </m:oMathPara>
          </w:p>
        </w:tc>
      </w:tr>
      <w:tr w:rsidR="001F2695" w:rsidTr="00853639">
        <w:trPr>
          <w:trHeight w:val="435"/>
        </w:trPr>
        <w:tc>
          <w:tcPr>
            <w:tcW w:w="2425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обработка древесины и производство изделий из дерева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0,45</m:t>
                </m:r>
              </m:oMath>
            </m:oMathPara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0,04</m:t>
                </m:r>
              </m:oMath>
            </m:oMathPara>
          </w:p>
        </w:tc>
      </w:tr>
      <w:tr w:rsidR="001F2695" w:rsidTr="00853639">
        <w:trPr>
          <w:trHeight w:val="645"/>
        </w:trPr>
        <w:tc>
          <w:tcPr>
            <w:tcW w:w="2425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целлюлозно-бумажное производство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-0,55</m:t>
                </m:r>
              </m:oMath>
            </m:oMathPara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машин и оборудования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0,9</m:t>
                </m:r>
              </m:oMath>
            </m:oMathPara>
          </w:p>
        </w:tc>
      </w:tr>
    </w:tbl>
    <w:p w:rsidR="001F2695" w:rsidRPr="00853639" w:rsidRDefault="001F2695" w:rsidP="001F2695">
      <w:pPr>
        <w:spacing w:after="120"/>
      </w:pPr>
    </w:p>
    <w:p w:rsidR="001F2695" w:rsidRDefault="008303BB" w:rsidP="008303BB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Коэффициенты детерминации по отраслям авторами рассчитывались по формуле</w:t>
      </w:r>
      <w:r w:rsidR="00853639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KI</m:t>
                </m:r>
              </m:sub>
            </m:sSub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1F2695" w:rsidRPr="00A124EB">
        <w:rPr>
          <w:rFonts w:ascii="Times New Roman" w:hAnsi="Times New Roman" w:cs="Times New Roman"/>
          <w:sz w:val="28"/>
          <w:szCs w:val="28"/>
        </w:rPr>
        <w:t>;</w:t>
      </w:r>
    </w:p>
    <w:p w:rsidR="008303BB" w:rsidRDefault="008303BB" w:rsidP="001F2695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8303BB" w:rsidRDefault="008303BB" w:rsidP="001F2695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8303BB" w:rsidRDefault="008303BB" w:rsidP="001F2695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8303BB" w:rsidRDefault="008303BB" w:rsidP="001F2695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8303BB" w:rsidRDefault="00A124EB" w:rsidP="008303BB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>Таблица 3.7</w:t>
      </w:r>
      <w:r w:rsidR="008536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4EB" w:rsidRPr="00A124EB" w:rsidRDefault="008303BB" w:rsidP="008303BB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расчетов коэффициентов</w:t>
      </w:r>
      <w:r w:rsidR="00A124EB" w:rsidRPr="00A124EB">
        <w:rPr>
          <w:rFonts w:ascii="Times New Roman" w:hAnsi="Times New Roman" w:cs="Times New Roman"/>
          <w:sz w:val="28"/>
          <w:szCs w:val="28"/>
        </w:rPr>
        <w:t xml:space="preserve"> детерминации</w:t>
      </w:r>
      <w:r>
        <w:rPr>
          <w:rFonts w:ascii="Times New Roman" w:hAnsi="Times New Roman" w:cs="Times New Roman"/>
          <w:sz w:val="28"/>
          <w:szCs w:val="28"/>
        </w:rPr>
        <w:t xml:space="preserve"> по отраслям</w:t>
      </w:r>
    </w:p>
    <w:tbl>
      <w:tblPr>
        <w:tblW w:w="95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1607"/>
        <w:gridCol w:w="3544"/>
        <w:gridCol w:w="1880"/>
      </w:tblGrid>
      <w:tr w:rsidR="001F2695" w:rsidTr="00853639">
        <w:trPr>
          <w:trHeight w:val="315"/>
        </w:trPr>
        <w:tc>
          <w:tcPr>
            <w:tcW w:w="2709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деятельности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Коэф. детерминации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деятельности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Коэф. детерминации</w:t>
            </w:r>
          </w:p>
        </w:tc>
      </w:tr>
      <w:tr w:rsidR="001F2695" w:rsidTr="00853639">
        <w:trPr>
          <w:trHeight w:val="330"/>
        </w:trPr>
        <w:tc>
          <w:tcPr>
            <w:tcW w:w="2709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0,28</m:t>
                </m:r>
              </m:oMath>
            </m:oMathPara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химическое производство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0,04</m:t>
                </m:r>
              </m:oMath>
            </m:oMathPara>
          </w:p>
        </w:tc>
      </w:tr>
      <w:tr w:rsidR="001F2695" w:rsidTr="00853639">
        <w:trPr>
          <w:trHeight w:val="435"/>
        </w:trPr>
        <w:tc>
          <w:tcPr>
            <w:tcW w:w="2709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-0,16</m:t>
                </m:r>
              </m:oMath>
            </m:oMathPara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резиновых и пластмассовых изделий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0,77</m:t>
                </m:r>
              </m:oMath>
            </m:oMathPara>
          </w:p>
        </w:tc>
      </w:tr>
      <w:tr w:rsidR="001F2695" w:rsidTr="00853639">
        <w:trPr>
          <w:trHeight w:val="435"/>
        </w:trPr>
        <w:tc>
          <w:tcPr>
            <w:tcW w:w="2709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текстильное и швейное производство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-0,68</m:t>
                </m:r>
              </m:oMath>
            </m:oMathPara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прочих неметаллических минеральных продуктов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0,46</m:t>
                </m:r>
              </m:oMath>
            </m:oMathPara>
          </w:p>
        </w:tc>
      </w:tr>
      <w:tr w:rsidR="001F2695" w:rsidTr="00853639">
        <w:trPr>
          <w:trHeight w:val="435"/>
        </w:trPr>
        <w:tc>
          <w:tcPr>
            <w:tcW w:w="2709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обработка древесины и производство изделий из дерева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0,45</m:t>
                </m:r>
              </m:oMath>
            </m:oMathPara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0,04</m:t>
                </m:r>
              </m:oMath>
            </m:oMathPara>
          </w:p>
        </w:tc>
      </w:tr>
      <w:tr w:rsidR="001F2695" w:rsidTr="00853639">
        <w:trPr>
          <w:trHeight w:val="645"/>
        </w:trPr>
        <w:tc>
          <w:tcPr>
            <w:tcW w:w="2709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целлюлозно-бумажное производство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-0,55</m:t>
                </m:r>
              </m:oMath>
            </m:oMathPara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машин и оборудования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0,9</m:t>
                </m:r>
              </m:oMath>
            </m:oMathPara>
          </w:p>
        </w:tc>
      </w:tr>
    </w:tbl>
    <w:p w:rsidR="00A124EB" w:rsidRDefault="00A124EB" w:rsidP="001F2695"/>
    <w:p w:rsidR="001F2695" w:rsidRPr="00A124EB" w:rsidRDefault="001F2695" w:rsidP="00A124E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>Коэффициент детерминации показывает то, в каком количестве случаев изменение УИСПМ приводит к соответствующему изменению ИПП. Таким образом, произведена оценка того, насколько часто в течение периода наблюдения изменение ИПП было напрямую связано, а, иными словами, вызвано соответствующими результатами функционирования промышленной инфраструктуры.</w:t>
      </w:r>
    </w:p>
    <w:p w:rsidR="001F2695" w:rsidRDefault="001F2695" w:rsidP="00A124E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 xml:space="preserve">Наблюдаемое значение </w:t>
      </w:r>
      <w:r w:rsidRPr="00A124E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124EB">
        <w:rPr>
          <w:rFonts w:ascii="Times New Roman" w:hAnsi="Times New Roman" w:cs="Times New Roman"/>
          <w:sz w:val="28"/>
          <w:szCs w:val="28"/>
        </w:rPr>
        <w:t>-критерия:</w:t>
      </w:r>
      <w:r w:rsidR="0085363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набл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KI</m:t>
            </m:r>
          </m:sub>
        </m:sSub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KI</m:t>
                        </m:r>
                      </m:sub>
                    </m:sSub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A124EB">
        <w:rPr>
          <w:rFonts w:ascii="Times New Roman" w:hAnsi="Times New Roman" w:cs="Times New Roman"/>
          <w:i/>
          <w:sz w:val="28"/>
          <w:szCs w:val="28"/>
        </w:rPr>
        <w:t>;</w:t>
      </w:r>
    </w:p>
    <w:p w:rsidR="008303BB" w:rsidRDefault="008303BB" w:rsidP="00A124E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303BB" w:rsidRDefault="008303BB" w:rsidP="00A124E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303BB" w:rsidRDefault="008303BB" w:rsidP="00A124E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303BB" w:rsidRDefault="008303BB" w:rsidP="00A124E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303BB" w:rsidRDefault="008303BB" w:rsidP="00A124E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303BB" w:rsidRPr="00853639" w:rsidRDefault="008303BB" w:rsidP="00A124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24EB" w:rsidRPr="00A124EB" w:rsidRDefault="00A124EB" w:rsidP="00A124EB">
      <w:pPr>
        <w:spacing w:before="120" w:after="120"/>
        <w:jc w:val="right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lastRenderedPageBreak/>
        <w:t xml:space="preserve">Таблица 3.8 </w:t>
      </w:r>
    </w:p>
    <w:p w:rsidR="00A124EB" w:rsidRPr="00A124EB" w:rsidRDefault="00A124EB" w:rsidP="00A124EB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 xml:space="preserve">Наблюдаемые значения </w:t>
      </w:r>
      <w:r w:rsidRPr="00A124E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124EB">
        <w:rPr>
          <w:rFonts w:ascii="Times New Roman" w:hAnsi="Times New Roman" w:cs="Times New Roman"/>
          <w:sz w:val="28"/>
          <w:szCs w:val="28"/>
        </w:rPr>
        <w:t>-критерия</w:t>
      </w:r>
    </w:p>
    <w:p w:rsidR="00A124EB" w:rsidRPr="00A124EB" w:rsidRDefault="00A124EB" w:rsidP="00A124EB">
      <w:pPr>
        <w:jc w:val="right"/>
      </w:pPr>
    </w:p>
    <w:tbl>
      <w:tblPr>
        <w:tblW w:w="95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3"/>
        <w:gridCol w:w="2656"/>
        <w:gridCol w:w="2094"/>
        <w:gridCol w:w="2517"/>
      </w:tblGrid>
      <w:tr w:rsidR="001F2695" w:rsidTr="00DE6901">
        <w:trPr>
          <w:trHeight w:val="315"/>
        </w:trPr>
        <w:tc>
          <w:tcPr>
            <w:tcW w:w="2283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деятельности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набл</m:t>
                    </m:r>
                  </m:sub>
                </m:sSub>
              </m:oMath>
            </m:oMathPara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деятельности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набл</m:t>
                    </m:r>
                  </m:sub>
                </m:sSub>
              </m:oMath>
            </m:oMathPara>
          </w:p>
        </w:tc>
      </w:tr>
      <w:tr w:rsidR="001F2695" w:rsidTr="00DE6901">
        <w:trPr>
          <w:trHeight w:val="330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1,2562</w:t>
            </w:r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химическое производство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0,1413</w:t>
            </w:r>
          </w:p>
        </w:tc>
      </w:tr>
      <w:tr w:rsidR="001F2695" w:rsidTr="00DE6901">
        <w:trPr>
          <w:trHeight w:val="43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-0,7845</w:t>
            </w:r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резиновых и пластмассовых изделий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1,7699</w:t>
            </w:r>
          </w:p>
        </w:tc>
      </w:tr>
      <w:tr w:rsidR="001F2695" w:rsidTr="00DE6901">
        <w:trPr>
          <w:trHeight w:val="43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текстильное и швейное производство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-1,7927</w:t>
            </w:r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прочих неметаллических минеральных продуктов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1,0722</w:t>
            </w:r>
          </w:p>
        </w:tc>
      </w:tr>
      <w:tr w:rsidR="001F2695" w:rsidTr="00DE6901">
        <w:trPr>
          <w:trHeight w:val="43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обработка древесины и производство изделий из дерева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0,7879</w:t>
            </w:r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0,0724</w:t>
            </w:r>
          </w:p>
        </w:tc>
      </w:tr>
      <w:tr w:rsidR="001F2695" w:rsidTr="00DE6901">
        <w:trPr>
          <w:trHeight w:val="64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целлюлозно-бумажное производство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-1,0493</w:t>
            </w:r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машин и оборудования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1,5889</w:t>
            </w:r>
          </w:p>
        </w:tc>
      </w:tr>
    </w:tbl>
    <w:p w:rsidR="00A124EB" w:rsidRDefault="00A124EB" w:rsidP="001F2695"/>
    <w:p w:rsidR="001F2695" w:rsidRPr="00A124EB" w:rsidRDefault="001F2695" w:rsidP="00A124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 xml:space="preserve">С помощью полученных наблюдаемых значений </w:t>
      </w:r>
      <w:r w:rsidRPr="00A124E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124EB">
        <w:rPr>
          <w:rFonts w:ascii="Times New Roman" w:hAnsi="Times New Roman" w:cs="Times New Roman"/>
          <w:sz w:val="28"/>
          <w:szCs w:val="28"/>
        </w:rPr>
        <w:t>-критерия определено, что для случаев производства машин и оборудования, производства резиновых и пластмассовых изделий и добычи полезных ископаемых имеем следующие вероятности отвержения гипотез незначимости частных коэффициентов корреляции соответственно: 86%, 90%,76% и 66% в случае производства прочих неметаллических минеральных продуктов.</w:t>
      </w:r>
    </w:p>
    <w:p w:rsidR="001F2695" w:rsidRPr="00A124EB" w:rsidRDefault="001F2695" w:rsidP="00A124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>Доверительные интервалы:</w:t>
      </w:r>
    </w:p>
    <w:p w:rsidR="001F2695" w:rsidRPr="00A124EB" w:rsidRDefault="00163E0A" w:rsidP="00A124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KI</m:t>
                        </m:r>
                      </m:sub>
                    </m:sSub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e>
            </m:rad>
          </m:den>
        </m:f>
      </m:oMath>
      <w:r w:rsidR="001F2695" w:rsidRPr="00A124EB">
        <w:rPr>
          <w:rFonts w:ascii="Times New Roman" w:hAnsi="Times New Roman" w:cs="Times New Roman"/>
          <w:sz w:val="28"/>
          <w:szCs w:val="28"/>
        </w:rPr>
        <w:t>;</w:t>
      </w:r>
    </w:p>
    <w:p w:rsidR="001F2695" w:rsidRDefault="001F2695" w:rsidP="00A124EB">
      <w:pPr>
        <w:spacing w:after="12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r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Times New Roman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</m:t>
            </m:r>
          </m:sub>
        </m:sSub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</w:rPr>
          <m:t>r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</w:rPr>
          <m:t>r+</m:t>
        </m:r>
        <m:sSub>
          <m:sSubPr>
            <m:ctrlPr>
              <w:rPr>
                <w:rFonts w:ascii="Cambria Math" w:hAnsi="Times New Roman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</m:t>
            </m:r>
          </m:sub>
        </m:sSub>
      </m:oMath>
      <w:r w:rsidRPr="00A124E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Times New Roman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</m:t>
            </m:r>
          </m:sub>
        </m:sSub>
        <m:r>
          <w:rPr>
            <w:rFonts w:ascii="Cambria Math" w:hAnsi="Times New Roman" w:cs="Times New Roman"/>
            <w:color w:val="000000"/>
            <w:sz w:val="28"/>
            <w:szCs w:val="28"/>
          </w:rPr>
          <m:t>=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</w:rPr>
          <m:t>±</m:t>
        </m:r>
        <m:sSub>
          <m:sSubPr>
            <m:ctrlPr>
              <w:rPr>
                <w:rFonts w:ascii="Cambria Math" w:hAnsi="Times New Roman" w:cs="Times New Roman"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m:t>табл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en-US"/>
              </w:rPr>
              <m:t>r</m:t>
            </m:r>
          </m:sub>
        </m:sSub>
      </m:oMath>
      <w:r w:rsidRPr="00A124EB">
        <w:rPr>
          <w:rFonts w:ascii="Times New Roman" w:hAnsi="Times New Roman" w:cs="Times New Roman"/>
          <w:i/>
          <w:color w:val="000000"/>
          <w:sz w:val="28"/>
          <w:szCs w:val="28"/>
        </w:rPr>
        <w:t>;</w:t>
      </w:r>
    </w:p>
    <w:p w:rsidR="00853639" w:rsidRDefault="00853639" w:rsidP="00A124EB">
      <w:pPr>
        <w:spacing w:after="12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853639" w:rsidRDefault="00853639" w:rsidP="00A124EB">
      <w:pPr>
        <w:spacing w:after="12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853639" w:rsidRDefault="00853639" w:rsidP="00A124EB">
      <w:pPr>
        <w:spacing w:after="12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853639" w:rsidRDefault="00853639" w:rsidP="00A124EB">
      <w:pPr>
        <w:spacing w:after="12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A124EB" w:rsidRDefault="00A124EB" w:rsidP="00A124EB">
      <w:pPr>
        <w:spacing w:after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3.9</w:t>
      </w:r>
    </w:p>
    <w:p w:rsidR="00A124EB" w:rsidRPr="00A124EB" w:rsidRDefault="00A124EB" w:rsidP="00A124EB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>Ширина доверительного интервала</w:t>
      </w:r>
    </w:p>
    <w:tbl>
      <w:tblPr>
        <w:tblStyle w:val="aa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F2695" w:rsidTr="00DE6901">
        <w:tc>
          <w:tcPr>
            <w:tcW w:w="2392" w:type="dxa"/>
            <w:vAlign w:val="center"/>
          </w:tcPr>
          <w:p w:rsidR="001F2695" w:rsidRDefault="001F2695" w:rsidP="00DE6901">
            <w:pPr>
              <w:jc w:val="center"/>
            </w:pPr>
            <w:r w:rsidRPr="00F54D8A">
              <w:rPr>
                <w:color w:val="000000"/>
                <w:sz w:val="16"/>
                <w:szCs w:val="16"/>
              </w:rPr>
              <w:t>производство резиновых и пластмассовых изделий</w:t>
            </w:r>
          </w:p>
        </w:tc>
        <w:tc>
          <w:tcPr>
            <w:tcW w:w="2393" w:type="dxa"/>
            <w:vAlign w:val="center"/>
          </w:tcPr>
          <w:p w:rsidR="001F2695" w:rsidRDefault="001F2695" w:rsidP="00DE6901">
            <w:pPr>
              <w:jc w:val="center"/>
            </w:pPr>
            <w:r w:rsidRPr="00F54D8A">
              <w:rPr>
                <w:color w:val="000000"/>
                <w:sz w:val="16"/>
                <w:szCs w:val="16"/>
              </w:rPr>
              <w:t>производство машин и оборудования</w:t>
            </w:r>
          </w:p>
        </w:tc>
        <w:tc>
          <w:tcPr>
            <w:tcW w:w="2393" w:type="dxa"/>
            <w:vAlign w:val="center"/>
          </w:tcPr>
          <w:p w:rsidR="001F2695" w:rsidRDefault="001F2695" w:rsidP="00DE6901">
            <w:pPr>
              <w:jc w:val="center"/>
            </w:pPr>
            <w:r w:rsidRPr="00F54D8A">
              <w:rPr>
                <w:color w:val="000000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2393" w:type="dxa"/>
            <w:vAlign w:val="center"/>
          </w:tcPr>
          <w:p w:rsidR="001F2695" w:rsidRDefault="001F2695" w:rsidP="00DE6901">
            <w:pPr>
              <w:jc w:val="center"/>
            </w:pPr>
            <w:r w:rsidRPr="00F54D8A">
              <w:rPr>
                <w:color w:val="000000"/>
                <w:sz w:val="16"/>
                <w:szCs w:val="16"/>
              </w:rPr>
              <w:t>производство прочих неметаллических минеральных продуктов</w:t>
            </w:r>
          </w:p>
        </w:tc>
      </w:tr>
      <w:tr w:rsidR="001F2695" w:rsidTr="00DE6901">
        <w:tc>
          <w:tcPr>
            <w:tcW w:w="2392" w:type="dxa"/>
            <w:vAlign w:val="center"/>
          </w:tcPr>
          <w:p w:rsidR="001F2695" w:rsidRPr="00C55649" w:rsidRDefault="001F2695" w:rsidP="00DE6901">
            <w:pPr>
              <w:jc w:val="center"/>
              <w:rPr>
                <w:rFonts w:ascii="Arial" w:hAnsi="Arial" w:cs="Arial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±</m:t>
              </m:r>
            </m:oMath>
            <w:r>
              <w:rPr>
                <w:rFonts w:ascii="Arial" w:hAnsi="Arial" w:cs="Arial"/>
              </w:rPr>
              <w:t>0,45</w:t>
            </w:r>
          </w:p>
        </w:tc>
        <w:tc>
          <w:tcPr>
            <w:tcW w:w="2393" w:type="dxa"/>
            <w:vAlign w:val="center"/>
          </w:tcPr>
          <w:p w:rsidR="001F2695" w:rsidRPr="00C55649" w:rsidRDefault="001F2695" w:rsidP="00DE6901">
            <w:pPr>
              <w:jc w:val="center"/>
              <w:rPr>
                <w:rFonts w:ascii="Arial" w:hAnsi="Arial" w:cs="Arial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±</m:t>
              </m:r>
            </m:oMath>
            <w:r>
              <w:rPr>
                <w:rFonts w:ascii="Arial" w:hAnsi="Arial" w:cs="Arial"/>
              </w:rPr>
              <w:t>0,42</w:t>
            </w:r>
          </w:p>
        </w:tc>
        <w:tc>
          <w:tcPr>
            <w:tcW w:w="2393" w:type="dxa"/>
            <w:vAlign w:val="center"/>
          </w:tcPr>
          <w:p w:rsidR="001F2695" w:rsidRPr="00C55649" w:rsidRDefault="001F2695" w:rsidP="00DE6901">
            <w:pPr>
              <w:jc w:val="center"/>
              <w:rPr>
                <w:rFonts w:ascii="Arial" w:hAnsi="Arial" w:cs="Arial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±</m:t>
              </m:r>
            </m:oMath>
            <w:r>
              <w:rPr>
                <w:rFonts w:ascii="Arial" w:hAnsi="Arial" w:cs="Arial"/>
              </w:rPr>
              <w:t>0,34</w:t>
            </w:r>
          </w:p>
        </w:tc>
        <w:tc>
          <w:tcPr>
            <w:tcW w:w="2393" w:type="dxa"/>
            <w:vAlign w:val="center"/>
          </w:tcPr>
          <w:p w:rsidR="001F2695" w:rsidRPr="00C55649" w:rsidRDefault="001F2695" w:rsidP="00DE6901">
            <w:pPr>
              <w:jc w:val="center"/>
              <w:rPr>
                <w:rFonts w:ascii="Arial" w:hAnsi="Arial" w:cs="Arial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±</m:t>
              </m:r>
            </m:oMath>
            <w:r>
              <w:rPr>
                <w:rFonts w:ascii="Arial" w:hAnsi="Arial" w:cs="Arial"/>
              </w:rPr>
              <w:t>0,30</w:t>
            </w:r>
          </w:p>
        </w:tc>
      </w:tr>
    </w:tbl>
    <w:p w:rsidR="00A124EB" w:rsidRDefault="00A124EB" w:rsidP="001F2695">
      <w:pPr>
        <w:spacing w:before="120" w:after="120"/>
      </w:pPr>
    </w:p>
    <w:p w:rsidR="00A124EB" w:rsidRDefault="00A124EB" w:rsidP="001F2695">
      <w:pPr>
        <w:spacing w:before="120" w:after="120"/>
      </w:pPr>
    </w:p>
    <w:p w:rsidR="001F2695" w:rsidRPr="00A124EB" w:rsidRDefault="001F2695" w:rsidP="001F2695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>Стандартная ошибка оценки:</w:t>
      </w:r>
    </w:p>
    <w:p w:rsidR="001F2695" w:rsidRDefault="00163E0A" w:rsidP="001F2695">
      <w:pPr>
        <w:spacing w:before="120" w:after="120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ост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k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den>
            </m:f>
          </m:e>
        </m:rad>
      </m:oMath>
      <w:r w:rsidR="001F2695" w:rsidRPr="00A124EB">
        <w:rPr>
          <w:rFonts w:ascii="Times New Roman" w:hAnsi="Times New Roman" w:cs="Times New Roman"/>
          <w:i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1F2695" w:rsidRPr="00A124EB">
        <w:rPr>
          <w:rFonts w:ascii="Times New Roman" w:hAnsi="Times New Roman" w:cs="Times New Roman"/>
          <w:i/>
          <w:sz w:val="28"/>
          <w:szCs w:val="28"/>
        </w:rPr>
        <w:t>–</w:t>
      </w:r>
      <w:r w:rsidR="001F2695" w:rsidRPr="0082401E">
        <w:rPr>
          <w:rFonts w:ascii="Times New Roman" w:hAnsi="Times New Roman" w:cs="Times New Roman"/>
          <w:sz w:val="28"/>
          <w:szCs w:val="28"/>
        </w:rPr>
        <w:t xml:space="preserve">значение выборки зависимой переменной, 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1F2695" w:rsidRPr="0082401E">
        <w:rPr>
          <w:rFonts w:ascii="Times New Roman" w:hAnsi="Times New Roman" w:cs="Times New Roman"/>
          <w:sz w:val="28"/>
          <w:szCs w:val="28"/>
        </w:rPr>
        <w:t xml:space="preserve">–значение функции регрессии, </w:t>
      </w:r>
      <w:r w:rsidR="001F2695" w:rsidRPr="0082401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F2695" w:rsidRPr="0082401E">
        <w:rPr>
          <w:rFonts w:ascii="Times New Roman" w:hAnsi="Times New Roman" w:cs="Times New Roman"/>
          <w:sz w:val="28"/>
          <w:szCs w:val="28"/>
        </w:rPr>
        <w:t xml:space="preserve"> – размер выборки, </w:t>
      </w:r>
      <w:r w:rsidR="001F2695" w:rsidRPr="0082401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F2695" w:rsidRPr="0082401E">
        <w:rPr>
          <w:rFonts w:ascii="Times New Roman" w:hAnsi="Times New Roman" w:cs="Times New Roman"/>
          <w:sz w:val="28"/>
          <w:szCs w:val="28"/>
        </w:rPr>
        <w:t>–количество факторов</w:t>
      </w:r>
      <w:r w:rsidR="001F2695" w:rsidRPr="00A124EB">
        <w:rPr>
          <w:rFonts w:ascii="Times New Roman" w:hAnsi="Times New Roman" w:cs="Times New Roman"/>
          <w:i/>
          <w:sz w:val="28"/>
          <w:szCs w:val="28"/>
        </w:rPr>
        <w:t>.</w:t>
      </w:r>
    </w:p>
    <w:p w:rsidR="00A124EB" w:rsidRDefault="00A124EB" w:rsidP="001F2695">
      <w:pPr>
        <w:spacing w:before="120" w:after="120"/>
        <w:rPr>
          <w:rFonts w:ascii="Times New Roman" w:hAnsi="Times New Roman" w:cs="Times New Roman"/>
          <w:i/>
          <w:sz w:val="28"/>
          <w:szCs w:val="28"/>
        </w:rPr>
      </w:pPr>
    </w:p>
    <w:p w:rsidR="00A124EB" w:rsidRPr="00A124EB" w:rsidRDefault="00A124EB" w:rsidP="00A124EB">
      <w:pPr>
        <w:spacing w:before="120" w:after="120"/>
        <w:jc w:val="right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2401E">
        <w:rPr>
          <w:rFonts w:ascii="Times New Roman" w:hAnsi="Times New Roman" w:cs="Times New Roman"/>
          <w:sz w:val="28"/>
          <w:szCs w:val="28"/>
        </w:rPr>
        <w:t>3.10</w:t>
      </w:r>
    </w:p>
    <w:p w:rsidR="00A124EB" w:rsidRPr="00A124EB" w:rsidRDefault="00A124EB" w:rsidP="00A124EB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>Стандартные ошибки оценки</w:t>
      </w:r>
    </w:p>
    <w:p w:rsidR="00A124EB" w:rsidRPr="00A124EB" w:rsidRDefault="00A124EB" w:rsidP="00A124EB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>Прогнозная экстраполяция</w:t>
      </w:r>
    </w:p>
    <w:tbl>
      <w:tblPr>
        <w:tblW w:w="95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3"/>
        <w:gridCol w:w="2656"/>
        <w:gridCol w:w="2094"/>
        <w:gridCol w:w="2517"/>
      </w:tblGrid>
      <w:tr w:rsidR="001F2695" w:rsidTr="00DE6901">
        <w:trPr>
          <w:trHeight w:val="315"/>
        </w:trPr>
        <w:tc>
          <w:tcPr>
            <w:tcW w:w="2283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деятельности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ост</m:t>
                    </m:r>
                  </m:sub>
                </m:sSub>
              </m:oMath>
            </m:oMathPara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деятельности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63E0A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ост</m:t>
                    </m:r>
                  </m:sub>
                </m:sSub>
              </m:oMath>
            </m:oMathPara>
          </w:p>
        </w:tc>
      </w:tr>
      <w:tr w:rsidR="001F2695" w:rsidTr="00DE6901">
        <w:trPr>
          <w:trHeight w:val="330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21,46</w:t>
            </w:r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химическое производство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6,58</w:t>
            </w:r>
          </w:p>
        </w:tc>
      </w:tr>
      <w:tr w:rsidR="001F2695" w:rsidTr="00DE6901">
        <w:trPr>
          <w:trHeight w:val="43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9,17</w:t>
            </w:r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резиновых и пластмассовых изделий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52,40</w:t>
            </w:r>
          </w:p>
        </w:tc>
      </w:tr>
      <w:tr w:rsidR="001F2695" w:rsidTr="00DE6901">
        <w:trPr>
          <w:trHeight w:val="43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текстильное и швейное производство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35,19</w:t>
            </w:r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прочих неметаллических минеральных продуктов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28,50</w:t>
            </w:r>
          </w:p>
        </w:tc>
      </w:tr>
      <w:tr w:rsidR="001F2695" w:rsidTr="00DE6901">
        <w:trPr>
          <w:trHeight w:val="43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обработка древесины и производство изделий из дерева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29,24</w:t>
            </w:r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8,34</w:t>
            </w:r>
          </w:p>
        </w:tc>
      </w:tr>
      <w:tr w:rsidR="001F2695" w:rsidTr="00DE6901">
        <w:trPr>
          <w:trHeight w:val="645"/>
        </w:trPr>
        <w:tc>
          <w:tcPr>
            <w:tcW w:w="2283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целлюлозно-бумажное производство</w:t>
            </w:r>
          </w:p>
        </w:tc>
        <w:tc>
          <w:tcPr>
            <w:tcW w:w="2656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47,52</w:t>
            </w:r>
          </w:p>
        </w:tc>
        <w:tc>
          <w:tcPr>
            <w:tcW w:w="2094" w:type="dxa"/>
            <w:shd w:val="clear" w:color="auto" w:fill="auto"/>
            <w:noWrap/>
            <w:vAlign w:val="center"/>
            <w:hideMark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производство машин и оборудования</w:t>
            </w:r>
          </w:p>
        </w:tc>
        <w:tc>
          <w:tcPr>
            <w:tcW w:w="2517" w:type="dxa"/>
            <w:shd w:val="clear" w:color="auto" w:fill="auto"/>
            <w:noWrap/>
            <w:vAlign w:val="center"/>
            <w:hideMark/>
          </w:tcPr>
          <w:p w:rsidR="001F2695" w:rsidRDefault="001F2695" w:rsidP="00DE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38,11</w:t>
            </w:r>
          </w:p>
        </w:tc>
      </w:tr>
    </w:tbl>
    <w:p w:rsidR="001F2695" w:rsidRDefault="001F2695" w:rsidP="001F2695">
      <w:pPr>
        <w:jc w:val="center"/>
      </w:pPr>
    </w:p>
    <w:p w:rsidR="001F2695" w:rsidRPr="00A124EB" w:rsidRDefault="001F2695" w:rsidP="00A124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>В отсутствии перспективных оценок значений на прогнозируемый период, расчет прогноза осуществлялся на основе однофакторной зависимости.</w:t>
      </w:r>
    </w:p>
    <w:p w:rsidR="001F2695" w:rsidRPr="00A124EB" w:rsidRDefault="001F2695" w:rsidP="001F2695">
      <w:p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exp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…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p>
            </m:sSup>
          </m:e>
        </m:d>
      </m:oMath>
      <w:r w:rsidRPr="00A124EB">
        <w:rPr>
          <w:rFonts w:ascii="Times New Roman" w:hAnsi="Times New Roman" w:cs="Times New Roman"/>
          <w:sz w:val="28"/>
          <w:szCs w:val="28"/>
        </w:rPr>
        <w:t xml:space="preserve">, </w:t>
      </w:r>
      <w:r w:rsidRPr="00A124E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124EB">
        <w:rPr>
          <w:rFonts w:ascii="Times New Roman" w:hAnsi="Times New Roman" w:cs="Times New Roman"/>
          <w:sz w:val="28"/>
          <w:szCs w:val="28"/>
        </w:rPr>
        <w:t xml:space="preserve"> = 0, 1, 2…</w:t>
      </w:r>
      <w:r w:rsidRPr="00A124E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124EB">
        <w:rPr>
          <w:rFonts w:ascii="Times New Roman" w:hAnsi="Times New Roman" w:cs="Times New Roman"/>
          <w:sz w:val="28"/>
          <w:szCs w:val="28"/>
        </w:rPr>
        <w:t>; - экспоненциальная,</w:t>
      </w:r>
    </w:p>
    <w:p w:rsidR="001F2695" w:rsidRPr="00A124EB" w:rsidRDefault="001F2695" w:rsidP="001F2695">
      <w:p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ln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</m:oMath>
      <w:r w:rsidRPr="00A124EB">
        <w:rPr>
          <w:rFonts w:ascii="Times New Roman" w:hAnsi="Times New Roman" w:cs="Times New Roman"/>
          <w:sz w:val="28"/>
          <w:szCs w:val="28"/>
        </w:rPr>
        <w:t>; - логарифмическая,</w:t>
      </w:r>
    </w:p>
    <w:p w:rsidR="001F2695" w:rsidRPr="00A124EB" w:rsidRDefault="001F2695" w:rsidP="001F2695">
      <w:p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t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Times New Roman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p>
        </m:sSup>
      </m:oMath>
      <w:r w:rsidRPr="00A124EB">
        <w:rPr>
          <w:rFonts w:ascii="Times New Roman" w:hAnsi="Times New Roman" w:cs="Times New Roman"/>
          <w:sz w:val="28"/>
          <w:szCs w:val="28"/>
        </w:rPr>
        <w:t xml:space="preserve">, </w:t>
      </w:r>
      <w:r w:rsidRPr="00A124E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124EB">
        <w:rPr>
          <w:rFonts w:ascii="Times New Roman" w:hAnsi="Times New Roman" w:cs="Times New Roman"/>
          <w:sz w:val="28"/>
          <w:szCs w:val="28"/>
        </w:rPr>
        <w:t xml:space="preserve"> = 0, 1, 2…</w:t>
      </w:r>
      <w:r w:rsidRPr="00A124E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124EB">
        <w:rPr>
          <w:rFonts w:ascii="Times New Roman" w:hAnsi="Times New Roman" w:cs="Times New Roman"/>
          <w:sz w:val="28"/>
          <w:szCs w:val="28"/>
        </w:rPr>
        <w:t>; - полиномиальная.</w:t>
      </w:r>
    </w:p>
    <w:p w:rsidR="001F2695" w:rsidRPr="00A124EB" w:rsidRDefault="001F2695" w:rsidP="00A124E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lastRenderedPageBreak/>
        <w:t>Среди рассмотренных вариантов с учетом показателя достоверности выбран оптимальный результат – аппроксимация с помощью полиномиальной зависимости третьей степени.</w:t>
      </w:r>
    </w:p>
    <w:p w:rsidR="001F2695" w:rsidRPr="00A124EB" w:rsidRDefault="001F2695" w:rsidP="00A124EB">
      <w:pPr>
        <w:spacing w:after="100" w:afterAutospacing="1"/>
        <w:ind w:firstLine="708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>Коэффициенты определены методом наименьших квадратов, решением системы уравнений вида:</w:t>
      </w:r>
    </w:p>
    <w:p w:rsidR="001F2695" w:rsidRDefault="00163E0A" w:rsidP="001F2695">
      <w:pPr>
        <w:spacing w:after="100" w:afterAutospacing="1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=0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  <m:sup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i</m:t>
                              </m:r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n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i</m:t>
                                  </m:r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</w:rPr>
                                    <m:t>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n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Times New Roman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Times New Roman" w:cs="Times New Roman"/>
                                              <w:i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</m:e>
                                    <m:sup>
                                      <m:r>
                                        <w:rPr>
                                          <w:rFonts w:ascii="Cambria Math" w:hAnsi="Times New Roman" w:cs="Times New Roman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</w:rPr>
                                    <m:t>+</m:t>
                                  </m:r>
                                </m:e>
                              </m:nary>
                              <m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m:t>…</m:t>
                              </m:r>
                            </m:e>
                          </m:nary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j</m:t>
                              </m:r>
                            </m:sub>
                          </m:sSub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i</m:t>
                              </m:r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n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j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i</m:t>
                                  </m:r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</w:rPr>
                                    <m:t>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n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y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e>
                      </m:nary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=0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i</m:t>
                              </m:r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n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  <m:sup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i</m:t>
                                  </m:r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</w:rPr>
                                    <m:t>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n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Times New Roman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Times New Roman" w:cs="Times New Roman"/>
                                              <w:i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</m:e>
                                    <m:sup>
                                      <m:r>
                                        <w:rPr>
                                          <w:rFonts w:ascii="Cambria Math" w:hAnsi="Times New Roman" w:cs="Times New Roman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</w:rPr>
                                    <m:t>+</m:t>
                                  </m:r>
                                </m:e>
                              </m:nary>
                              <m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m:t>…</m:t>
                              </m:r>
                            </m:e>
                          </m:nary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j</m:t>
                              </m:r>
                            </m:sub>
                          </m:sSub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i</m:t>
                              </m:r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n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j</m:t>
                                  </m:r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</w:rPr>
                                    <m:t>+1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i</m:t>
                                  </m:r>
                                  <m: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</w:rPr>
                                    <m:t>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n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Times New Roman" w:cs="Times New Roman"/>
                                              <w:i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y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e>
                      </m:nary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Times New Roman" w:hAnsi="Cambria Math" w:cs="Times New Roman"/>
                                <w:sz w:val="28"/>
                                <w:szCs w:val="28"/>
                              </w:rPr>
                              <m:t>⋮</m:t>
                            </m:r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Times New Roman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Times New Roman" w:cs="Times New Roman"/>
                                    <w:sz w:val="28"/>
                                    <w:szCs w:val="28"/>
                                  </w:rPr>
                                  <m:t>=0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n</m:t>
                                </m:r>
                              </m:sup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Times New Roman" w:cs="Times New Roman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Times New Roman" w:cs="Times New Roman"/>
                                            <w:i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j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Times New Roman" w:cs="Times New Roman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Times New Roman" w:cs="Times New Roman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Times New Roman" w:cs="Times New Roman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</m:sSub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Times New Roman" w:cs="Times New Roman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i</m:t>
                                    </m:r>
                                    <m:r>
                                      <w:rPr>
                                        <w:rFonts w:ascii="Cambria Math" w:hAnsi="Times New Roman" w:cs="Times New Roman"/>
                                        <w:sz w:val="28"/>
                                        <w:szCs w:val="28"/>
                                      </w:rPr>
                                      <m:t>=0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n</m:t>
                                    </m:r>
                                  </m:sup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Times New Roman" w:cs="Times New Roman"/>
                                            <w:i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m:ctrlPr>
                                      </m:sSup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Times New Roman" w:cs="Times New Roman"/>
                                                <w:i/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m:t>J</m:t>
                                        </m:r>
                                        <m:r>
                                          <w:rPr>
                                            <w:rFonts w:ascii="Cambria Math" w:hAnsi="Times New Roman" w:cs="Times New Roman"/>
                                            <w:sz w:val="28"/>
                                            <w:szCs w:val="28"/>
                                          </w:rPr>
                                          <m:t>+1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Times New Roman" w:cs="Times New Roman"/>
                                        <w:sz w:val="28"/>
                                        <w:szCs w:val="28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Times New Roman" w:cs="Times New Roman"/>
                                            <w:i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Times New Roman" w:cs="Times New Roman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nary>
                                      <m:naryPr>
                                        <m:chr m:val="∑"/>
                                        <m:limLoc m:val="undOvr"/>
                                        <m:ctrlPr>
                                          <w:rPr>
                                            <w:rFonts w:ascii="Cambria Math" w:hAnsi="Times New Roman" w:cs="Times New Roman"/>
                                            <w:i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m:t>i</m:t>
                                        </m:r>
                                        <m:r>
                                          <w:rPr>
                                            <w:rFonts w:ascii="Cambria Math" w:hAnsi="Times New Roman" w:cs="Times New Roman"/>
                                            <w:sz w:val="28"/>
                                            <w:szCs w:val="28"/>
                                          </w:rPr>
                                          <m:t>=0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m:t>n</m:t>
                                        </m:r>
                                      </m:sup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Times New Roman" w:cs="Times New Roman"/>
                                                <w:i/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Times New Roman" w:cs="Times New Roman"/>
                                                    <w:i/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m:t>x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m:t>i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  <m:t>j</m:t>
                                            </m:r>
                                            <m:r>
                                              <w:rPr>
                                                <w:rFonts w:ascii="Cambria Math" w:hAnsi="Times New Roman" w:cs="Times New Roman"/>
                                                <w:sz w:val="28"/>
                                                <w:szCs w:val="28"/>
                                              </w:rPr>
                                              <m:t>+2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Times New Roman" w:cs="Times New Roman"/>
                                            <w:sz w:val="28"/>
                                            <w:szCs w:val="28"/>
                                          </w:rPr>
                                          <m:t>+</m:t>
                                        </m:r>
                                      </m:e>
                                    </m:nary>
                                    <m: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m:t>…</m:t>
                                    </m:r>
                                  </m:e>
                                </m:nary>
                                <m:r>
                                  <w:rPr>
                                    <w:rFonts w:ascii="Cambria Math" w:hAnsi="Times New Roman" w:cs="Times New Roman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Times New Roman" w:cs="Times New Roman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j</m:t>
                                    </m:r>
                                  </m:sub>
                                </m:sSub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Times New Roman" w:cs="Times New Roman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i</m:t>
                                    </m:r>
                                    <m:r>
                                      <w:rPr>
                                        <w:rFonts w:ascii="Cambria Math" w:hAnsi="Times New Roman" w:cs="Times New Roman"/>
                                        <w:sz w:val="28"/>
                                        <w:szCs w:val="28"/>
                                      </w:rPr>
                                      <m:t>=0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n</m:t>
                                    </m:r>
                                  </m:sup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Times New Roman" w:cs="Times New Roman"/>
                                            <w:i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m:ctrlPr>
                                      </m:sSup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Times New Roman" w:cs="Times New Roman"/>
                                                <w:i/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</m:e>
                                      <m:sup>
                                        <m:r>
                                          <w:rPr>
                                            <w:rFonts w:ascii="Cambria Math" w:hAnsi="Times New Roman" w:cs="Times New Roman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m:t>j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Times New Roman" w:cs="Times New Roman"/>
                                        <w:sz w:val="28"/>
                                        <w:szCs w:val="28"/>
                                      </w:rPr>
                                      <m:t>=</m:t>
                                    </m:r>
                                    <m:nary>
                                      <m:naryPr>
                                        <m:chr m:val="∑"/>
                                        <m:limLoc m:val="undOvr"/>
                                        <m:ctrlPr>
                                          <w:rPr>
                                            <w:rFonts w:ascii="Cambria Math" w:hAnsi="Times New Roman" w:cs="Times New Roman"/>
                                            <w:i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m:t>i</m:t>
                                        </m:r>
                                        <m:r>
                                          <w:rPr>
                                            <w:rFonts w:ascii="Cambria Math" w:hAnsi="Times New Roman" w:cs="Times New Roman"/>
                                            <w:sz w:val="28"/>
                                            <w:szCs w:val="28"/>
                                          </w:rPr>
                                          <m:t>=0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m:t>n</m:t>
                                        </m:r>
                                      </m:sup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Times New Roman" w:cs="Times New Roman"/>
                                                <w:i/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Times New Roman" w:cs="Times New Roman"/>
                                                    <w:i/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Times New Roman" w:cs="Times New Roman"/>
                                                        <w:i/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Times New Roman"/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m:t>x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 w:cs="Times New Roman"/>
                                                        <w:sz w:val="28"/>
                                                        <w:szCs w:val="28"/>
                                                        <w:lang w:val="en-US"/>
                                                      </w:rPr>
                                                      <m:t>i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  <w:szCs w:val="28"/>
                                                    <w:lang w:val="en-US"/>
                                                  </w:rPr>
                                                  <m:t>j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  <m:t>y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28"/>
                                                <w:szCs w:val="28"/>
                                                <w:lang w:val="en-US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</m:e>
                                    </m:nary>
                                  </m:e>
                                </m:nary>
                              </m:e>
                            </m:nary>
                          </m:e>
                        </m:mr>
                      </m:m>
                    </m:e>
                  </m:mr>
                </m:m>
              </m:e>
            </m:eqArr>
          </m:e>
        </m:d>
      </m:oMath>
      <w:r w:rsidR="001F2695" w:rsidRPr="00A124EB">
        <w:rPr>
          <w:rFonts w:ascii="Times New Roman" w:hAnsi="Times New Roman" w:cs="Times New Roman"/>
          <w:sz w:val="28"/>
          <w:szCs w:val="28"/>
        </w:rPr>
        <w:t>;</w:t>
      </w:r>
    </w:p>
    <w:p w:rsidR="0082401E" w:rsidRPr="00A124EB" w:rsidRDefault="0082401E" w:rsidP="001F2695">
      <w:pPr>
        <w:spacing w:after="100" w:afterAutospacing="1"/>
        <w:rPr>
          <w:rFonts w:ascii="Times New Roman" w:hAnsi="Times New Roman" w:cs="Times New Roman"/>
          <w:sz w:val="28"/>
          <w:szCs w:val="28"/>
        </w:rPr>
      </w:pPr>
    </w:p>
    <w:p w:rsidR="001F2695" w:rsidRDefault="001F2695" w:rsidP="001F2695">
      <w:r>
        <w:rPr>
          <w:noProof/>
        </w:rPr>
        <w:drawing>
          <wp:inline distT="0" distB="0" distL="0" distR="0">
            <wp:extent cx="5940425" cy="3114600"/>
            <wp:effectExtent l="19050" t="0" r="222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2401E" w:rsidRPr="00A124EB" w:rsidRDefault="0082401E" w:rsidP="0082401E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Pr="00A12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Pr="00A124EB">
        <w:rPr>
          <w:rFonts w:ascii="Times New Roman" w:hAnsi="Times New Roman" w:cs="Times New Roman"/>
          <w:sz w:val="28"/>
          <w:szCs w:val="28"/>
        </w:rPr>
        <w:t>УИСПМ, добыча полезных ископаемых</w:t>
      </w:r>
    </w:p>
    <w:p w:rsidR="001F2695" w:rsidRDefault="001F2695" w:rsidP="001F2695">
      <w:pPr>
        <w:spacing w:before="120" w:after="120"/>
        <w:jc w:val="center"/>
      </w:pPr>
    </w:p>
    <w:p w:rsidR="001F2695" w:rsidRPr="00A124EB" w:rsidRDefault="00A124EB" w:rsidP="00A124EB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 получаем</w:t>
      </w:r>
      <w:r w:rsidRPr="00A124EB">
        <w:rPr>
          <w:rFonts w:ascii="Times New Roman" w:hAnsi="Times New Roman" w:cs="Times New Roman"/>
          <w:sz w:val="28"/>
          <w:szCs w:val="28"/>
        </w:rPr>
        <w:t xml:space="preserve">, -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=0,013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0,3214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+1,8381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+70,7</m:t>
        </m:r>
      </m:oMath>
      <w:r w:rsidR="001F2695" w:rsidRPr="00A124EB">
        <w:rPr>
          <w:rFonts w:ascii="Times New Roman" w:hAnsi="Times New Roman" w:cs="Times New Roman"/>
          <w:sz w:val="28"/>
          <w:szCs w:val="28"/>
        </w:rPr>
        <w:t xml:space="preserve"> -экстраполяционная функция для УИСПМ</w:t>
      </w:r>
      <w:r w:rsidRPr="00A124EB">
        <w:rPr>
          <w:rFonts w:ascii="Times New Roman" w:hAnsi="Times New Roman" w:cs="Times New Roman"/>
          <w:sz w:val="28"/>
          <w:szCs w:val="28"/>
        </w:rPr>
        <w:t xml:space="preserve"> </w:t>
      </w:r>
      <w:r w:rsidR="001F2695" w:rsidRPr="00A124EB">
        <w:rPr>
          <w:rFonts w:ascii="Times New Roman" w:hAnsi="Times New Roman" w:cs="Times New Roman"/>
          <w:sz w:val="28"/>
          <w:szCs w:val="28"/>
        </w:rPr>
        <w:t>добычи полезных ископаемых</w:t>
      </w:r>
      <w:r w:rsidRPr="00A124EB">
        <w:rPr>
          <w:rFonts w:ascii="Times New Roman" w:hAnsi="Times New Roman" w:cs="Times New Roman"/>
          <w:sz w:val="28"/>
          <w:szCs w:val="28"/>
        </w:rPr>
        <w:t>, представленная на рисунке</w:t>
      </w:r>
      <w:r w:rsidR="001F2695" w:rsidRPr="00A124EB">
        <w:rPr>
          <w:rFonts w:ascii="Times New Roman" w:hAnsi="Times New Roman" w:cs="Times New Roman"/>
          <w:sz w:val="28"/>
          <w:szCs w:val="28"/>
        </w:rPr>
        <w:t xml:space="preserve"> </w:t>
      </w:r>
      <w:r w:rsidR="0082401E">
        <w:rPr>
          <w:rFonts w:ascii="Times New Roman" w:hAnsi="Times New Roman" w:cs="Times New Roman"/>
          <w:sz w:val="28"/>
          <w:szCs w:val="28"/>
        </w:rPr>
        <w:t>3.</w:t>
      </w:r>
      <w:r w:rsidR="001F2695" w:rsidRPr="00A124EB">
        <w:rPr>
          <w:rFonts w:ascii="Times New Roman" w:hAnsi="Times New Roman" w:cs="Times New Roman"/>
          <w:sz w:val="28"/>
          <w:szCs w:val="28"/>
        </w:rPr>
        <w:t>1</w:t>
      </w:r>
      <w:r w:rsidR="0082401E">
        <w:rPr>
          <w:rFonts w:ascii="Times New Roman" w:hAnsi="Times New Roman" w:cs="Times New Roman"/>
          <w:sz w:val="28"/>
          <w:szCs w:val="28"/>
        </w:rPr>
        <w:t>.</w:t>
      </w:r>
    </w:p>
    <w:p w:rsidR="00A124EB" w:rsidRDefault="00A124EB" w:rsidP="001F269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A124EB" w:rsidRDefault="00A124EB" w:rsidP="001F269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A124EB" w:rsidRDefault="00A124EB" w:rsidP="001F269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1F2695" w:rsidRDefault="001F2695" w:rsidP="001F2695">
      <w:r>
        <w:rPr>
          <w:noProof/>
        </w:rPr>
        <w:lastRenderedPageBreak/>
        <w:drawing>
          <wp:inline distT="0" distB="0" distL="0" distR="0">
            <wp:extent cx="5940425" cy="2828925"/>
            <wp:effectExtent l="19050" t="0" r="2222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2401E" w:rsidRDefault="0082401E" w:rsidP="0082401E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Pr="00A12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3.2</w:t>
      </w:r>
      <w:r w:rsidRPr="00A12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4EB">
        <w:rPr>
          <w:rFonts w:ascii="Times New Roman" w:hAnsi="Times New Roman" w:cs="Times New Roman"/>
          <w:sz w:val="28"/>
          <w:szCs w:val="28"/>
        </w:rPr>
        <w:t>УИСПМ, производство машин и оборудования</w:t>
      </w:r>
    </w:p>
    <w:p w:rsidR="0082401E" w:rsidRDefault="0082401E" w:rsidP="00A124EB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2695" w:rsidRDefault="00A124EB" w:rsidP="00A124EB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 xml:space="preserve">В итоге получаем, -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=0,0138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0,5493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+5,8022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+22,7</m:t>
        </m:r>
      </m:oMath>
      <w:r w:rsidR="001F2695" w:rsidRPr="00A124EB">
        <w:rPr>
          <w:rFonts w:ascii="Times New Roman" w:hAnsi="Times New Roman" w:cs="Times New Roman"/>
          <w:sz w:val="28"/>
          <w:szCs w:val="28"/>
        </w:rPr>
        <w:t xml:space="preserve"> – экстраполяционная функция для УИСПМ производства машин и оборудования</w:t>
      </w:r>
      <w:r w:rsidRPr="00A124EB">
        <w:rPr>
          <w:rFonts w:ascii="Times New Roman" w:hAnsi="Times New Roman" w:cs="Times New Roman"/>
          <w:sz w:val="28"/>
          <w:szCs w:val="28"/>
        </w:rPr>
        <w:t>, представленная на рисунке</w:t>
      </w:r>
      <w:r w:rsidR="001F2695" w:rsidRPr="00A124EB">
        <w:rPr>
          <w:rFonts w:ascii="Times New Roman" w:hAnsi="Times New Roman" w:cs="Times New Roman"/>
          <w:sz w:val="28"/>
          <w:szCs w:val="28"/>
        </w:rPr>
        <w:t xml:space="preserve"> 2</w:t>
      </w:r>
      <w:r w:rsidRPr="00A124EB">
        <w:rPr>
          <w:rFonts w:ascii="Times New Roman" w:hAnsi="Times New Roman" w:cs="Times New Roman"/>
          <w:sz w:val="28"/>
          <w:szCs w:val="28"/>
        </w:rPr>
        <w:t>.</w:t>
      </w:r>
    </w:p>
    <w:p w:rsidR="001F2695" w:rsidRDefault="001F2695" w:rsidP="001F2695">
      <w:pPr>
        <w:spacing w:before="100" w:beforeAutospacing="1" w:after="100" w:afterAutospacing="1"/>
      </w:pPr>
      <w:r>
        <w:rPr>
          <w:noProof/>
        </w:rPr>
        <w:drawing>
          <wp:inline distT="0" distB="0" distL="0" distR="0">
            <wp:extent cx="5940425" cy="2790825"/>
            <wp:effectExtent l="19050" t="0" r="2222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2401E" w:rsidRPr="0082401E" w:rsidRDefault="0082401E" w:rsidP="0082401E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Pr="00A12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3.3 </w:t>
      </w:r>
      <w:r w:rsidRPr="0082401E">
        <w:rPr>
          <w:rFonts w:ascii="Times New Roman" w:hAnsi="Times New Roman" w:cs="Times New Roman"/>
          <w:sz w:val="28"/>
          <w:szCs w:val="28"/>
        </w:rPr>
        <w:t>УИСПМ, производство прочих неметаллических минеральных продуктов</w:t>
      </w:r>
    </w:p>
    <w:p w:rsidR="0082401E" w:rsidRDefault="0082401E" w:rsidP="0082401E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8"/>
          <w:szCs w:val="28"/>
        </w:rPr>
      </w:pPr>
    </w:p>
    <w:p w:rsidR="0082401E" w:rsidRPr="0082401E" w:rsidRDefault="0082401E" w:rsidP="0082401E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lastRenderedPageBreak/>
        <w:t>В итоге получаем, -</w:t>
      </w:r>
      <w: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=0,0188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0,6128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+6,5239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+34,1</m:t>
        </m:r>
      </m:oMath>
      <w:r w:rsidR="001F2695" w:rsidRPr="0082401E">
        <w:rPr>
          <w:rFonts w:ascii="Times New Roman" w:hAnsi="Times New Roman" w:cs="Times New Roman"/>
          <w:sz w:val="28"/>
          <w:szCs w:val="28"/>
        </w:rPr>
        <w:t xml:space="preserve"> –экстраполяционная функция для УИСПМ производства прочих неметаллических минеральных продуктов</w:t>
      </w:r>
      <w:r>
        <w:rPr>
          <w:rFonts w:ascii="Times New Roman" w:hAnsi="Times New Roman" w:cs="Times New Roman"/>
          <w:sz w:val="28"/>
          <w:szCs w:val="28"/>
        </w:rPr>
        <w:t>, представленная на рис.</w:t>
      </w:r>
      <w:r w:rsidR="001F2695" w:rsidRPr="00824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</w:t>
      </w:r>
      <w:r w:rsidR="001F2695" w:rsidRPr="0082401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2695" w:rsidRDefault="001F2695" w:rsidP="001F2695">
      <w:pPr>
        <w:spacing w:before="100" w:beforeAutospacing="1" w:after="100" w:afterAutospacing="1"/>
      </w:pPr>
      <w:r>
        <w:rPr>
          <w:noProof/>
        </w:rPr>
        <w:drawing>
          <wp:inline distT="0" distB="0" distL="0" distR="0">
            <wp:extent cx="5940425" cy="3114600"/>
            <wp:effectExtent l="0" t="0" r="22225" b="1016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F2695" w:rsidRPr="0082401E" w:rsidRDefault="0082401E" w:rsidP="0082401E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01E">
        <w:rPr>
          <w:rFonts w:ascii="Times New Roman" w:hAnsi="Times New Roman" w:cs="Times New Roman"/>
          <w:sz w:val="28"/>
          <w:szCs w:val="28"/>
        </w:rPr>
        <w:t xml:space="preserve">Рис. </w:t>
      </w:r>
      <w:r w:rsidR="009F6730">
        <w:rPr>
          <w:rFonts w:ascii="Times New Roman" w:hAnsi="Times New Roman" w:cs="Times New Roman"/>
          <w:sz w:val="28"/>
          <w:szCs w:val="28"/>
        </w:rPr>
        <w:t>3.</w:t>
      </w:r>
      <w:r w:rsidR="001F2695" w:rsidRPr="0082401E">
        <w:rPr>
          <w:rFonts w:ascii="Times New Roman" w:hAnsi="Times New Roman" w:cs="Times New Roman"/>
          <w:sz w:val="28"/>
          <w:szCs w:val="28"/>
        </w:rPr>
        <w:t>4. УИСПМ, производство резиновых и пластмассовых изделий</w:t>
      </w:r>
    </w:p>
    <w:p w:rsidR="001F2695" w:rsidRPr="00DE6901" w:rsidRDefault="009F6730" w:rsidP="00A8493F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4EB">
        <w:rPr>
          <w:rFonts w:ascii="Times New Roman" w:hAnsi="Times New Roman" w:cs="Times New Roman"/>
          <w:sz w:val="28"/>
          <w:szCs w:val="28"/>
        </w:rPr>
        <w:t>В итоге получаем, -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=0,0052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0,2087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+3,1374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+50,37</m:t>
        </m:r>
      </m:oMath>
      <w:r w:rsidR="001F2695" w:rsidRPr="0082401E">
        <w:rPr>
          <w:rFonts w:ascii="Times New Roman" w:hAnsi="Times New Roman" w:cs="Times New Roman"/>
          <w:sz w:val="28"/>
          <w:szCs w:val="28"/>
        </w:rPr>
        <w:t xml:space="preserve"> –экстраполяционная функция для УИСПМ производства резиновых и пластмассовых из</w:t>
      </w:r>
      <w:r>
        <w:rPr>
          <w:rFonts w:ascii="Times New Roman" w:hAnsi="Times New Roman" w:cs="Times New Roman"/>
          <w:sz w:val="28"/>
          <w:szCs w:val="28"/>
        </w:rPr>
        <w:t>делий, представленная на рис.3.4.</w:t>
      </w:r>
    </w:p>
    <w:p w:rsidR="001F2695" w:rsidRDefault="001F2695" w:rsidP="001F2695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2401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1F2695" w:rsidRPr="001F2695" w:rsidRDefault="001F2695" w:rsidP="001F2695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Спрогнозированные значения</w:t>
      </w:r>
    </w:p>
    <w:tbl>
      <w:tblPr>
        <w:tblStyle w:val="aa"/>
        <w:tblW w:w="0" w:type="auto"/>
        <w:tblLook w:val="04A0"/>
      </w:tblPr>
      <w:tblGrid>
        <w:gridCol w:w="1398"/>
        <w:gridCol w:w="1361"/>
        <w:gridCol w:w="1362"/>
        <w:gridCol w:w="1362"/>
        <w:gridCol w:w="1362"/>
        <w:gridCol w:w="1363"/>
        <w:gridCol w:w="1363"/>
      </w:tblGrid>
      <w:tr w:rsidR="001F2695" w:rsidRPr="00966B50" w:rsidTr="00DE6901">
        <w:tc>
          <w:tcPr>
            <w:tcW w:w="1398" w:type="dxa"/>
            <w:tcBorders>
              <w:tl2br w:val="single" w:sz="4" w:space="0" w:color="auto"/>
            </w:tcBorders>
            <w:vAlign w:val="center"/>
          </w:tcPr>
          <w:p w:rsidR="001F2695" w:rsidRDefault="001F2695" w:rsidP="00DE6901">
            <w:pPr>
              <w:jc w:val="right"/>
            </w:pPr>
            <w:r>
              <w:rPr>
                <w:sz w:val="16"/>
                <w:szCs w:val="16"/>
              </w:rPr>
              <w:t>г</w:t>
            </w:r>
            <w:r w:rsidRPr="008E5A51">
              <w:rPr>
                <w:sz w:val="16"/>
                <w:szCs w:val="16"/>
              </w:rPr>
              <w:t>од</w:t>
            </w:r>
          </w:p>
          <w:p w:rsidR="001F2695" w:rsidRPr="00966B50" w:rsidRDefault="001F2695" w:rsidP="00DE6901">
            <w:r>
              <w:rPr>
                <w:sz w:val="16"/>
                <w:szCs w:val="16"/>
              </w:rPr>
              <w:t>в</w:t>
            </w:r>
            <w:r w:rsidRPr="008E5A51">
              <w:rPr>
                <w:sz w:val="16"/>
                <w:szCs w:val="16"/>
              </w:rPr>
              <w:t>иддеятельности</w:t>
            </w:r>
          </w:p>
        </w:tc>
        <w:tc>
          <w:tcPr>
            <w:tcW w:w="1361" w:type="dxa"/>
            <w:vAlign w:val="center"/>
          </w:tcPr>
          <w:p w:rsidR="001F2695" w:rsidRPr="00966B50" w:rsidRDefault="001F2695" w:rsidP="00DE6901">
            <w:pPr>
              <w:jc w:val="center"/>
            </w:pPr>
            <w:r w:rsidRPr="00966B50">
              <w:t>2015</w:t>
            </w:r>
          </w:p>
        </w:tc>
        <w:tc>
          <w:tcPr>
            <w:tcW w:w="1362" w:type="dxa"/>
            <w:vAlign w:val="center"/>
          </w:tcPr>
          <w:p w:rsidR="001F2695" w:rsidRPr="00966B50" w:rsidRDefault="001F2695" w:rsidP="00DE6901">
            <w:pPr>
              <w:jc w:val="center"/>
            </w:pPr>
            <w:r w:rsidRPr="00966B50">
              <w:t>2016</w:t>
            </w:r>
          </w:p>
        </w:tc>
        <w:tc>
          <w:tcPr>
            <w:tcW w:w="1362" w:type="dxa"/>
            <w:vAlign w:val="center"/>
          </w:tcPr>
          <w:p w:rsidR="001F2695" w:rsidRPr="00966B50" w:rsidRDefault="001F2695" w:rsidP="00DE6901">
            <w:pPr>
              <w:jc w:val="center"/>
            </w:pPr>
            <w:r w:rsidRPr="00966B50">
              <w:t>2017</w:t>
            </w:r>
          </w:p>
        </w:tc>
        <w:tc>
          <w:tcPr>
            <w:tcW w:w="1362" w:type="dxa"/>
            <w:vAlign w:val="center"/>
          </w:tcPr>
          <w:p w:rsidR="001F2695" w:rsidRPr="00966B50" w:rsidRDefault="001F2695" w:rsidP="00DE6901">
            <w:pPr>
              <w:jc w:val="center"/>
            </w:pPr>
            <w:r w:rsidRPr="00966B50">
              <w:t>2018</w:t>
            </w:r>
          </w:p>
        </w:tc>
        <w:tc>
          <w:tcPr>
            <w:tcW w:w="1363" w:type="dxa"/>
            <w:vAlign w:val="center"/>
          </w:tcPr>
          <w:p w:rsidR="001F2695" w:rsidRPr="00966B50" w:rsidRDefault="001F2695" w:rsidP="00DE6901">
            <w:pPr>
              <w:jc w:val="center"/>
            </w:pPr>
            <w:r w:rsidRPr="00966B50">
              <w:t>2019</w:t>
            </w:r>
          </w:p>
        </w:tc>
        <w:tc>
          <w:tcPr>
            <w:tcW w:w="1363" w:type="dxa"/>
            <w:vAlign w:val="center"/>
          </w:tcPr>
          <w:p w:rsidR="001F2695" w:rsidRPr="00966B50" w:rsidRDefault="001F2695" w:rsidP="00DE6901">
            <w:pPr>
              <w:jc w:val="center"/>
            </w:pPr>
            <w:r w:rsidRPr="00966B50">
              <w:t>2020</w:t>
            </w:r>
          </w:p>
        </w:tc>
      </w:tr>
      <w:tr w:rsidR="001F2695" w:rsidTr="00DE6901">
        <w:tc>
          <w:tcPr>
            <w:tcW w:w="1398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1361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69,8315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71,0792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72,9321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75,4682</w:t>
            </w:r>
          </w:p>
        </w:tc>
        <w:tc>
          <w:tcPr>
            <w:tcW w:w="1363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78,7655</w:t>
            </w:r>
          </w:p>
        </w:tc>
        <w:tc>
          <w:tcPr>
            <w:tcW w:w="1363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82,902</w:t>
            </w:r>
          </w:p>
        </w:tc>
      </w:tr>
      <w:tr w:rsidR="001F2695" w:rsidTr="00DE6901">
        <w:tc>
          <w:tcPr>
            <w:tcW w:w="1398" w:type="dxa"/>
            <w:vAlign w:val="center"/>
          </w:tcPr>
          <w:p w:rsidR="001F2695" w:rsidRPr="00770E49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F54D8A">
              <w:rPr>
                <w:color w:val="000000"/>
                <w:sz w:val="16"/>
                <w:szCs w:val="16"/>
              </w:rPr>
              <w:t xml:space="preserve">производство </w:t>
            </w:r>
            <w:r>
              <w:rPr>
                <w:color w:val="000000"/>
                <w:sz w:val="16"/>
                <w:szCs w:val="16"/>
              </w:rPr>
              <w:t>машин и оборудования</w:t>
            </w:r>
          </w:p>
        </w:tc>
        <w:tc>
          <w:tcPr>
            <w:tcW w:w="1361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32,7155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31,4392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30,3891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29,648</w:t>
            </w:r>
          </w:p>
        </w:tc>
        <w:tc>
          <w:tcPr>
            <w:tcW w:w="1363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29,2987</w:t>
            </w:r>
          </w:p>
        </w:tc>
        <w:tc>
          <w:tcPr>
            <w:tcW w:w="1363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29,424</w:t>
            </w:r>
          </w:p>
        </w:tc>
      </w:tr>
      <w:tr w:rsidR="001F2695" w:rsidTr="00DE6901">
        <w:tc>
          <w:tcPr>
            <w:tcW w:w="1398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770E49">
              <w:rPr>
                <w:color w:val="000000"/>
                <w:sz w:val="16"/>
                <w:szCs w:val="16"/>
              </w:rPr>
              <w:t>производство прочих неметаллических минеральных продуктов</w:t>
            </w:r>
          </w:p>
        </w:tc>
        <w:tc>
          <w:tcPr>
            <w:tcW w:w="1361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57,5285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58,6104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60,2715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62,6246</w:t>
            </w:r>
          </w:p>
        </w:tc>
        <w:tc>
          <w:tcPr>
            <w:tcW w:w="1363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65,7825</w:t>
            </w:r>
          </w:p>
        </w:tc>
        <w:tc>
          <w:tcPr>
            <w:tcW w:w="1363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69,858</w:t>
            </w:r>
          </w:p>
        </w:tc>
      </w:tr>
      <w:tr w:rsidR="001F2695" w:rsidTr="00DE6901">
        <w:tc>
          <w:tcPr>
            <w:tcW w:w="1398" w:type="dxa"/>
            <w:vAlign w:val="center"/>
          </w:tcPr>
          <w:p w:rsidR="001F2695" w:rsidRPr="00F54D8A" w:rsidRDefault="001F2695" w:rsidP="00DE6901">
            <w:pPr>
              <w:jc w:val="center"/>
              <w:rPr>
                <w:color w:val="000000"/>
                <w:sz w:val="16"/>
                <w:szCs w:val="16"/>
              </w:rPr>
            </w:pPr>
            <w:r w:rsidRPr="00770E49">
              <w:rPr>
                <w:color w:val="000000"/>
                <w:sz w:val="16"/>
                <w:szCs w:val="16"/>
              </w:rPr>
              <w:t>производство резиновых и пластмассовых изделий</w:t>
            </w:r>
          </w:p>
        </w:tc>
        <w:tc>
          <w:tcPr>
            <w:tcW w:w="1361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68,0235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68,4404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68,9391</w:t>
            </w:r>
          </w:p>
        </w:tc>
        <w:tc>
          <w:tcPr>
            <w:tcW w:w="1362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69,5508</w:t>
            </w:r>
          </w:p>
        </w:tc>
        <w:tc>
          <w:tcPr>
            <w:tcW w:w="1363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70,3067</w:t>
            </w:r>
          </w:p>
        </w:tc>
        <w:tc>
          <w:tcPr>
            <w:tcW w:w="1363" w:type="dxa"/>
            <w:vAlign w:val="center"/>
          </w:tcPr>
          <w:p w:rsidR="001F2695" w:rsidRDefault="001F2695" w:rsidP="00DE69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71,238</w:t>
            </w:r>
          </w:p>
        </w:tc>
      </w:tr>
    </w:tbl>
    <w:p w:rsidR="00A8493F" w:rsidRDefault="00A8493F" w:rsidP="001F2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695" w:rsidRDefault="001F2695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695">
        <w:rPr>
          <w:rFonts w:ascii="Times New Roman" w:hAnsi="Times New Roman" w:cs="Times New Roman"/>
          <w:sz w:val="28"/>
          <w:szCs w:val="28"/>
        </w:rPr>
        <w:lastRenderedPageBreak/>
        <w:t>Полученный прогноз указывает на положительную тенденцию уровня использования среднегодовой производственной мощности предприятия в среднесрочной перспективе для таких видов деятельности, как добыча полезных ископаемых, производство прочих неметаллических минеральных продуктов и производство резиновых и пластмассовых изделий, а в случае производства машин и оборудования</w:t>
      </w:r>
      <w:r w:rsidR="00A124EB">
        <w:rPr>
          <w:rFonts w:ascii="Times New Roman" w:hAnsi="Times New Roman" w:cs="Times New Roman"/>
          <w:sz w:val="28"/>
          <w:szCs w:val="28"/>
        </w:rPr>
        <w:t xml:space="preserve"> </w:t>
      </w:r>
      <w:r w:rsidRPr="001F2695">
        <w:rPr>
          <w:rFonts w:ascii="Times New Roman" w:hAnsi="Times New Roman" w:cs="Times New Roman"/>
          <w:sz w:val="28"/>
          <w:szCs w:val="28"/>
        </w:rPr>
        <w:t>в конце среднесрочного периода уже наблюдается положительная тенденция.</w:t>
      </w: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Default="00A8493F" w:rsidP="00A849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493F" w:rsidRPr="000A4528" w:rsidRDefault="00686EDB" w:rsidP="00A8493F">
      <w:pPr>
        <w:pStyle w:val="normal"/>
        <w:ind w:firstLine="709"/>
        <w:jc w:val="center"/>
        <w:rPr>
          <w:szCs w:val="28"/>
        </w:rPr>
      </w:pPr>
      <w:r>
        <w:lastRenderedPageBreak/>
        <w:t xml:space="preserve">§ </w:t>
      </w:r>
      <w:r w:rsidR="00A8493F" w:rsidRPr="000A4528">
        <w:rPr>
          <w:szCs w:val="28"/>
        </w:rPr>
        <w:t>3.2. Инфраструктурная составляющая</w:t>
      </w:r>
      <w:r w:rsidR="00A8493F">
        <w:rPr>
          <w:szCs w:val="28"/>
        </w:rPr>
        <w:t xml:space="preserve"> промышленной</w:t>
      </w:r>
      <w:r w:rsidR="00A8493F" w:rsidRPr="000A4528">
        <w:rPr>
          <w:szCs w:val="28"/>
        </w:rPr>
        <w:t xml:space="preserve"> политики в </w:t>
      </w:r>
      <w:r>
        <w:rPr>
          <w:szCs w:val="28"/>
        </w:rPr>
        <w:t>условиях трансформации экономики</w:t>
      </w:r>
    </w:p>
    <w:p w:rsidR="00A8493F" w:rsidRDefault="00A8493F" w:rsidP="00A8493F">
      <w:pPr>
        <w:pStyle w:val="normal"/>
        <w:ind w:firstLine="709"/>
        <w:rPr>
          <w:szCs w:val="28"/>
        </w:rPr>
      </w:pPr>
    </w:p>
    <w:p w:rsidR="00A8493F" w:rsidRPr="000A4528" w:rsidRDefault="00A8493F" w:rsidP="00A8493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Для перехода</w:t>
      </w:r>
      <w:r>
        <w:rPr>
          <w:rFonts w:ascii="Times New Roman" w:hAnsi="Times New Roman" w:cs="Times New Roman"/>
          <w:sz w:val="28"/>
          <w:szCs w:val="28"/>
        </w:rPr>
        <w:t xml:space="preserve"> национальной экономики на шестой</w:t>
      </w:r>
      <w:r w:rsidRPr="000A4528">
        <w:rPr>
          <w:rFonts w:ascii="Times New Roman" w:hAnsi="Times New Roman" w:cs="Times New Roman"/>
          <w:sz w:val="28"/>
          <w:szCs w:val="28"/>
        </w:rPr>
        <w:t xml:space="preserve"> технологический уклад приоритетами</w:t>
      </w:r>
      <w:r>
        <w:rPr>
          <w:rFonts w:ascii="Times New Roman" w:hAnsi="Times New Roman" w:cs="Times New Roman"/>
          <w:sz w:val="28"/>
          <w:szCs w:val="28"/>
        </w:rPr>
        <w:t xml:space="preserve"> формируемой</w:t>
      </w:r>
      <w:r w:rsidRPr="000A4528">
        <w:rPr>
          <w:rFonts w:ascii="Times New Roman" w:hAnsi="Times New Roman" w:cs="Times New Roman"/>
          <w:sz w:val="28"/>
          <w:szCs w:val="28"/>
        </w:rPr>
        <w:t xml:space="preserve"> промышленной политики должны являться</w:t>
      </w:r>
      <w:r>
        <w:rPr>
          <w:rFonts w:ascii="Times New Roman" w:hAnsi="Times New Roman" w:cs="Times New Roman"/>
          <w:sz w:val="28"/>
          <w:szCs w:val="28"/>
        </w:rPr>
        <w:t xml:space="preserve"> не только инновационные</w:t>
      </w:r>
      <w:r w:rsidRPr="000A4528">
        <w:rPr>
          <w:rFonts w:ascii="Times New Roman" w:hAnsi="Times New Roman" w:cs="Times New Roman"/>
          <w:sz w:val="28"/>
          <w:szCs w:val="28"/>
        </w:rPr>
        <w:t xml:space="preserve"> технологии</w:t>
      </w:r>
      <w:r>
        <w:rPr>
          <w:rFonts w:ascii="Times New Roman" w:hAnsi="Times New Roman" w:cs="Times New Roman"/>
          <w:sz w:val="28"/>
          <w:szCs w:val="28"/>
        </w:rPr>
        <w:t xml:space="preserve"> основных производств</w:t>
      </w:r>
      <w:r w:rsidRPr="000A4528">
        <w:rPr>
          <w:rFonts w:ascii="Times New Roman" w:hAnsi="Times New Roman" w:cs="Times New Roman"/>
          <w:sz w:val="28"/>
          <w:szCs w:val="28"/>
        </w:rPr>
        <w:t xml:space="preserve"> данного уклада</w:t>
      </w:r>
      <w:r>
        <w:rPr>
          <w:rFonts w:ascii="Times New Roman" w:hAnsi="Times New Roman" w:cs="Times New Roman"/>
          <w:sz w:val="28"/>
          <w:szCs w:val="28"/>
        </w:rPr>
        <w:t>, но и технологии инфраструктурного подкомплекса</w:t>
      </w:r>
      <w:r w:rsidRPr="000A4528">
        <w:rPr>
          <w:rFonts w:ascii="Times New Roman" w:hAnsi="Times New Roman" w:cs="Times New Roman"/>
          <w:sz w:val="28"/>
          <w:szCs w:val="28"/>
        </w:rPr>
        <w:t>. В сущности, именно подобные технологии и формируют новые точки</w:t>
      </w:r>
      <w:r>
        <w:rPr>
          <w:rFonts w:ascii="Times New Roman" w:hAnsi="Times New Roman" w:cs="Times New Roman"/>
          <w:sz w:val="28"/>
          <w:szCs w:val="28"/>
        </w:rPr>
        <w:t xml:space="preserve"> возникновения данного уклада</w:t>
      </w:r>
      <w:r w:rsidRPr="000A4528">
        <w:rPr>
          <w:rFonts w:ascii="Times New Roman" w:hAnsi="Times New Roman" w:cs="Times New Roman"/>
          <w:sz w:val="28"/>
          <w:szCs w:val="28"/>
        </w:rPr>
        <w:t>. К числу таких точек роста, свойственных шестому технологическому укладу, относятся</w:t>
      </w:r>
      <w:r>
        <w:rPr>
          <w:rFonts w:ascii="Times New Roman" w:hAnsi="Times New Roman" w:cs="Times New Roman"/>
          <w:sz w:val="28"/>
          <w:szCs w:val="28"/>
        </w:rPr>
        <w:t xml:space="preserve"> инфраструктурные объекты предприятий из отраслей</w:t>
      </w:r>
      <w:r w:rsidRPr="000A4528">
        <w:rPr>
          <w:rFonts w:ascii="Times New Roman" w:hAnsi="Times New Roman" w:cs="Times New Roman"/>
          <w:sz w:val="28"/>
          <w:szCs w:val="28"/>
        </w:rPr>
        <w:t xml:space="preserve"> нано- и биотехнологии, альтернативн</w:t>
      </w:r>
      <w:r>
        <w:rPr>
          <w:rFonts w:ascii="Times New Roman" w:hAnsi="Times New Roman" w:cs="Times New Roman"/>
          <w:sz w:val="28"/>
          <w:szCs w:val="28"/>
        </w:rPr>
        <w:t>ой энергетики</w:t>
      </w:r>
      <w:r w:rsidRPr="000A4528">
        <w:rPr>
          <w:rFonts w:ascii="Times New Roman" w:hAnsi="Times New Roman" w:cs="Times New Roman"/>
          <w:sz w:val="28"/>
          <w:szCs w:val="28"/>
        </w:rPr>
        <w:t xml:space="preserve"> и информационные технологи</w:t>
      </w:r>
      <w:r>
        <w:rPr>
          <w:rFonts w:ascii="Times New Roman" w:hAnsi="Times New Roman" w:cs="Times New Roman"/>
          <w:sz w:val="28"/>
          <w:szCs w:val="28"/>
        </w:rPr>
        <w:t>й. Указанные</w:t>
      </w:r>
      <w:r w:rsidRPr="000A4528">
        <w:rPr>
          <w:rFonts w:ascii="Times New Roman" w:hAnsi="Times New Roman" w:cs="Times New Roman"/>
          <w:sz w:val="28"/>
          <w:szCs w:val="28"/>
        </w:rPr>
        <w:t xml:space="preserve"> технологии в современных условия</w:t>
      </w:r>
      <w:r>
        <w:rPr>
          <w:rFonts w:ascii="Times New Roman" w:hAnsi="Times New Roman" w:cs="Times New Roman"/>
          <w:sz w:val="28"/>
          <w:szCs w:val="28"/>
        </w:rPr>
        <w:t>х способны выступить основой роста конкурентоспособности промышленного комплекса</w:t>
      </w:r>
      <w:r w:rsidRPr="000A4528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A8493F" w:rsidRPr="000A4528" w:rsidRDefault="00A8493F" w:rsidP="00A8493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В то же время следует отметить, что перспективы реализации инновационного прорыва во многом определяются процессами разработки и внедрения передовых технологий в реальное производство. Оказать существенное положительное влияние на данные процессы призвана национальная инновационная промышленная политика. При этом в рамках проведения данной политики особое внимание следует уделить вопросам создания благоприятных условий для функционирования инновационной сферы.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4528">
        <w:rPr>
          <w:rFonts w:ascii="Times New Roman" w:hAnsi="Times New Roman" w:cs="Times New Roman"/>
          <w:sz w:val="28"/>
          <w:szCs w:val="28"/>
        </w:rPr>
        <w:t>Таким образом, становится видно, что развитие современного производства заключается не только в развитии отдельных субъектов данного производства, но и в формировании рациональных интеграционных образований, способствующих повышению производительности. Отсюда вытекает ряд важных свойств, характерных для экономики постиндустриального типа:</w:t>
      </w:r>
    </w:p>
    <w:p w:rsidR="00A8493F" w:rsidRPr="000A4528" w:rsidRDefault="00A8493F" w:rsidP="00A8493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 xml:space="preserve">- формирование межотраслевых связей – естественный процесс разделения труда, заключающийся в выводе непрофильных </w:t>
      </w:r>
      <w:r w:rsidR="00686EDB">
        <w:rPr>
          <w:rFonts w:ascii="Times New Roman" w:hAnsi="Times New Roman" w:cs="Times New Roman"/>
          <w:sz w:val="28"/>
          <w:szCs w:val="28"/>
        </w:rPr>
        <w:lastRenderedPageBreak/>
        <w:t xml:space="preserve">(инфраструктурных) </w:t>
      </w:r>
      <w:r w:rsidRPr="000A4528">
        <w:rPr>
          <w:rFonts w:ascii="Times New Roman" w:hAnsi="Times New Roman" w:cs="Times New Roman"/>
          <w:sz w:val="28"/>
          <w:szCs w:val="28"/>
        </w:rPr>
        <w:t>производственных процессов за границы основного бизнеса;</w:t>
      </w:r>
    </w:p>
    <w:p w:rsidR="00A8493F" w:rsidRPr="000A4528" w:rsidRDefault="00A8493F" w:rsidP="00A8493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повышение концентрации производственного капитала, происходящее в рамках сосредоточения усилий на основном производственном процессе, приносящем максимальную величину добавленной стоимости.</w:t>
      </w:r>
    </w:p>
    <w:p w:rsidR="00686EDB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В настоящее время федеральные</w:t>
      </w:r>
      <w:r w:rsidR="00686EDB">
        <w:rPr>
          <w:rFonts w:ascii="Times New Roman" w:hAnsi="Times New Roman" w:cs="Times New Roman"/>
          <w:sz w:val="28"/>
          <w:szCs w:val="28"/>
        </w:rPr>
        <w:t xml:space="preserve"> органы</w:t>
      </w:r>
      <w:r w:rsidRPr="00013645">
        <w:rPr>
          <w:rFonts w:ascii="Times New Roman" w:hAnsi="Times New Roman" w:cs="Times New Roman"/>
          <w:sz w:val="28"/>
          <w:szCs w:val="28"/>
        </w:rPr>
        <w:t xml:space="preserve"> власти</w:t>
      </w:r>
      <w:r w:rsidR="00686EDB">
        <w:rPr>
          <w:rFonts w:ascii="Times New Roman" w:hAnsi="Times New Roman" w:cs="Times New Roman"/>
          <w:sz w:val="28"/>
          <w:szCs w:val="28"/>
        </w:rPr>
        <w:t xml:space="preserve"> и заинтересованные крупные коммерческие структуры</w:t>
      </w:r>
      <w:r w:rsidRPr="00013645">
        <w:rPr>
          <w:rFonts w:ascii="Times New Roman" w:hAnsi="Times New Roman" w:cs="Times New Roman"/>
          <w:sz w:val="28"/>
          <w:szCs w:val="28"/>
        </w:rPr>
        <w:t xml:space="preserve"> предпринимают усилия по актив</w:t>
      </w:r>
      <w:r w:rsidR="00686EDB">
        <w:rPr>
          <w:rFonts w:ascii="Times New Roman" w:hAnsi="Times New Roman" w:cs="Times New Roman"/>
          <w:sz w:val="28"/>
          <w:szCs w:val="28"/>
        </w:rPr>
        <w:t>изации и повышению эффективности развития</w:t>
      </w:r>
      <w:r w:rsidRPr="00013645">
        <w:rPr>
          <w:rFonts w:ascii="Times New Roman" w:hAnsi="Times New Roman" w:cs="Times New Roman"/>
          <w:sz w:val="28"/>
          <w:szCs w:val="28"/>
        </w:rPr>
        <w:t xml:space="preserve"> производственной инфраструктуры</w:t>
      </w:r>
      <w:r w:rsidR="00686EDB">
        <w:rPr>
          <w:rFonts w:ascii="Times New Roman" w:hAnsi="Times New Roman" w:cs="Times New Roman"/>
          <w:sz w:val="28"/>
          <w:szCs w:val="28"/>
        </w:rPr>
        <w:t xml:space="preserve"> промышленного комплекса</w:t>
      </w:r>
      <w:r w:rsidRPr="00013645">
        <w:rPr>
          <w:rFonts w:ascii="Times New Roman" w:hAnsi="Times New Roman" w:cs="Times New Roman"/>
          <w:sz w:val="28"/>
          <w:szCs w:val="28"/>
        </w:rPr>
        <w:t xml:space="preserve">. Одним из направлений такой активизации является реализация государственно-частного партнерства (ГЧП). </w:t>
      </w:r>
      <w:r w:rsidR="00686EDB">
        <w:rPr>
          <w:rFonts w:ascii="Times New Roman" w:hAnsi="Times New Roman" w:cs="Times New Roman"/>
          <w:sz w:val="28"/>
          <w:szCs w:val="28"/>
        </w:rPr>
        <w:t xml:space="preserve">Автором, на базе проанализированной тематической литературы </w:t>
      </w:r>
      <w:r w:rsidR="00686EDB" w:rsidRPr="00686EDB">
        <w:rPr>
          <w:rFonts w:ascii="Times New Roman" w:hAnsi="Times New Roman" w:cs="Times New Roman"/>
          <w:sz w:val="28"/>
          <w:szCs w:val="28"/>
        </w:rPr>
        <w:t>[3, 6, 13, 18, 44, 45, 50, 66, 72, 116]</w:t>
      </w:r>
      <w:r w:rsidR="00686EDB">
        <w:rPr>
          <w:rFonts w:ascii="Times New Roman" w:hAnsi="Times New Roman" w:cs="Times New Roman"/>
          <w:sz w:val="28"/>
          <w:szCs w:val="28"/>
        </w:rPr>
        <w:t xml:space="preserve"> были </w:t>
      </w:r>
      <w:r w:rsidRPr="00013645">
        <w:rPr>
          <w:rFonts w:ascii="Times New Roman" w:hAnsi="Times New Roman" w:cs="Times New Roman"/>
          <w:sz w:val="28"/>
          <w:szCs w:val="28"/>
        </w:rPr>
        <w:t xml:space="preserve">выделены и обобщены следующие основные формы реализации ГЧП: </w:t>
      </w:r>
    </w:p>
    <w:p w:rsidR="00686EDB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− контракты как административный договор, заключаемый между государством (органом местного самоуправления) и частной фирмой на осуществление определенных общественно необходимых и полезных видов деятельности;</w:t>
      </w:r>
    </w:p>
    <w:p w:rsidR="00686EDB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аренда в ее традиционной форме (договора аренды) и в форме лизинга; </w:t>
      </w:r>
    </w:p>
    <w:p w:rsidR="00686EDB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соглашения о разделе продукции; </w:t>
      </w:r>
    </w:p>
    <w:p w:rsidR="00686EDB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− совместные предприятия.</w:t>
      </w:r>
    </w:p>
    <w:p w:rsidR="00E85E31" w:rsidRDefault="00686EDB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Роль промышленного комплекса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в реализации проектов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значения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на основе ГЧП значительна. По данным </w:t>
      </w:r>
      <w:r>
        <w:rPr>
          <w:rFonts w:ascii="Times New Roman" w:hAnsi="Times New Roman" w:cs="Times New Roman"/>
          <w:sz w:val="28"/>
          <w:szCs w:val="28"/>
        </w:rPr>
        <w:t xml:space="preserve">аналитиков на </w:t>
      </w:r>
      <w:r w:rsidR="00A8493F" w:rsidRPr="00013645">
        <w:rPr>
          <w:rFonts w:ascii="Times New Roman" w:hAnsi="Times New Roman" w:cs="Times New Roman"/>
          <w:sz w:val="28"/>
          <w:szCs w:val="28"/>
        </w:rPr>
        <w:t>уровне</w:t>
      </w:r>
      <w:r>
        <w:rPr>
          <w:rFonts w:ascii="Times New Roman" w:hAnsi="Times New Roman" w:cs="Times New Roman"/>
          <w:sz w:val="28"/>
          <w:szCs w:val="28"/>
        </w:rPr>
        <w:t xml:space="preserve"> промышленного комплекса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инициируется и реализуетс</w:t>
      </w:r>
      <w:r>
        <w:rPr>
          <w:rFonts w:ascii="Times New Roman" w:hAnsi="Times New Roman" w:cs="Times New Roman"/>
          <w:sz w:val="28"/>
          <w:szCs w:val="28"/>
        </w:rPr>
        <w:t>я до 55</w:t>
      </w:r>
      <w:r w:rsidR="00E85E31">
        <w:rPr>
          <w:rFonts w:ascii="Times New Roman" w:hAnsi="Times New Roman" w:cs="Times New Roman"/>
          <w:sz w:val="28"/>
          <w:szCs w:val="28"/>
        </w:rPr>
        <w:t xml:space="preserve"> % ГЧП-проектов</w:t>
      </w:r>
      <w:r w:rsidR="00A8493F" w:rsidRPr="00013645">
        <w:rPr>
          <w:rFonts w:ascii="Times New Roman" w:hAnsi="Times New Roman" w:cs="Times New Roman"/>
          <w:sz w:val="28"/>
          <w:szCs w:val="28"/>
        </w:rPr>
        <w:t>. Проанализ</w:t>
      </w:r>
      <w:r w:rsidR="00E85E31">
        <w:rPr>
          <w:rFonts w:ascii="Times New Roman" w:hAnsi="Times New Roman" w:cs="Times New Roman"/>
          <w:sz w:val="28"/>
          <w:szCs w:val="28"/>
        </w:rPr>
        <w:t>ировав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существующие особенности и тенденции в реа</w:t>
      </w:r>
      <w:r w:rsidR="00E85E31">
        <w:rPr>
          <w:rFonts w:ascii="Times New Roman" w:hAnsi="Times New Roman" w:cs="Times New Roman"/>
          <w:sz w:val="28"/>
          <w:szCs w:val="28"/>
        </w:rPr>
        <w:t xml:space="preserve">лизации ГЧП в промышленности РФ, автор пришел к выводам, что в </w:t>
      </w:r>
      <w:r w:rsidR="00E85E31">
        <w:rPr>
          <w:rFonts w:ascii="Times New Roman" w:hAnsi="Times New Roman" w:cs="Times New Roman"/>
          <w:sz w:val="28"/>
          <w:szCs w:val="28"/>
        </w:rPr>
        <w:lastRenderedPageBreak/>
        <w:t>настоящий период времени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сформирована достаточная нормативно-правовая база, регламентирующая развитие ГЧП в стране, что создает основу для результативной реализации различных форм партнерств. Нормативно-правовое регулирование в РФ имеет и достаточную</w:t>
      </w:r>
      <w:r w:rsidR="00E85E31">
        <w:rPr>
          <w:rFonts w:ascii="Times New Roman" w:hAnsi="Times New Roman" w:cs="Times New Roman"/>
          <w:sz w:val="28"/>
          <w:szCs w:val="28"/>
        </w:rPr>
        <w:t xml:space="preserve"> емкую историю, 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в</w:t>
      </w:r>
      <w:r w:rsidR="00E85E31">
        <w:rPr>
          <w:rFonts w:ascii="Times New Roman" w:hAnsi="Times New Roman" w:cs="Times New Roman"/>
          <w:sz w:val="28"/>
          <w:szCs w:val="28"/>
        </w:rPr>
        <w:t xml:space="preserve"> частночти в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2006 г. в Законе «Об участии Санкт-Петербурга в государственно-частных партнерствах» № 627-100 от 25.12.2006 появ</w:t>
      </w:r>
      <w:r w:rsidR="003F5237">
        <w:rPr>
          <w:rFonts w:ascii="Times New Roman" w:hAnsi="Times New Roman" w:cs="Times New Roman"/>
          <w:sz w:val="28"/>
          <w:szCs w:val="28"/>
        </w:rPr>
        <w:t>илось понятие и подходы ГЧП</w:t>
      </w:r>
      <w:r w:rsidR="00E85E31">
        <w:rPr>
          <w:rFonts w:ascii="Times New Roman" w:hAnsi="Times New Roman" w:cs="Times New Roman"/>
          <w:sz w:val="28"/>
          <w:szCs w:val="28"/>
        </w:rPr>
        <w:t>, а к 2012 г. нормативно-правовая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база ГЧП присут</w:t>
      </w:r>
      <w:r w:rsidR="00E85E31">
        <w:rPr>
          <w:rFonts w:ascii="Times New Roman" w:hAnsi="Times New Roman" w:cs="Times New Roman"/>
          <w:sz w:val="28"/>
          <w:szCs w:val="28"/>
        </w:rPr>
        <w:t>ствовала уже в 69 субъектах РФ. На федеральном уровне к началу 2015г.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сформировалась достаточно обширная нормативно-правовая база, регламентирующая ГЧП, в том числе и в направлении модернизации производственной инфраструктуры</w:t>
      </w:r>
      <w:r w:rsidR="00E85E31">
        <w:rPr>
          <w:rFonts w:ascii="Times New Roman" w:hAnsi="Times New Roman" w:cs="Times New Roman"/>
          <w:sz w:val="28"/>
          <w:szCs w:val="28"/>
        </w:rPr>
        <w:t xml:space="preserve"> промышленного комплекса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85E31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нормативно-правовые акты, определяющие правовой статус участников ГЧП (Конституция РФ; Гражданский кодекс РФ; Федеральный закон от 06.10.2003 г. № 131-ФЗ «Об общих принципах организации местного самоуправления в Российской Федерации» и др.); </w:t>
      </w:r>
    </w:p>
    <w:p w:rsidR="00E85E31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− нормативные акты, регулирующие контрактные типы ГЧП</w:t>
      </w:r>
      <w:r w:rsidR="00E85E31">
        <w:rPr>
          <w:rFonts w:ascii="Times New Roman" w:hAnsi="Times New Roman" w:cs="Times New Roman"/>
          <w:sz w:val="28"/>
          <w:szCs w:val="28"/>
        </w:rPr>
        <w:t>, в т.ч.:</w:t>
      </w:r>
    </w:p>
    <w:p w:rsidR="00E85E31" w:rsidRDefault="00E85E31" w:rsidP="00E85E31">
      <w:pPr>
        <w:spacing w:line="360" w:lineRule="auto"/>
        <w:ind w:left="708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нормативно-правовые акты, регулирующие контрактные формы ГЧП по гражданскому законодательству (Федеральный закон от 21.07.2005 г. № 94-ФЗ «О размещении заказов на поставки товаров, выполнение работ, оказание услуг для государственных и муниципальных нужд»; Федеральный закон от 29.10.1998 г. № 164-ФЗ «О финансовой аренде 114 (лизинге)»; Федеральный закон от 30.12.1995 г. № 225-ФЗ «О соглашениях о разделе продукции» и др.); </w:t>
      </w:r>
    </w:p>
    <w:p w:rsidR="00E85E31" w:rsidRDefault="00E85E31" w:rsidP="00E85E31">
      <w:pPr>
        <w:spacing w:line="360" w:lineRule="auto"/>
        <w:ind w:left="708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нормативно-правовые акты о концессионных соглашениях (Федеральный закон от 21.07.2005 г. № 115-ФЗ «О концессионных соглашениях» и др.);</w:t>
      </w:r>
    </w:p>
    <w:p w:rsidR="00E85E31" w:rsidRDefault="00E85E31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законодательство о соглашениях о разделе продукции (Федеральный закон от 30.12.1995 г. № 225-ФЗ «О соглашениях о разделе продукции» и др.)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5E31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правовые акты, регулирующие проведение тендерных процедур в ГЧП</w:t>
      </w:r>
      <w:r w:rsidR="00E85E31">
        <w:rPr>
          <w:rFonts w:ascii="Times New Roman" w:hAnsi="Times New Roman" w:cs="Times New Roman"/>
          <w:sz w:val="28"/>
          <w:szCs w:val="28"/>
        </w:rPr>
        <w:t>, в т.ч.</w:t>
      </w:r>
      <w:r w:rsidRPr="00013645">
        <w:rPr>
          <w:rFonts w:ascii="Times New Roman" w:hAnsi="Times New Roman" w:cs="Times New Roman"/>
          <w:sz w:val="28"/>
          <w:szCs w:val="28"/>
        </w:rPr>
        <w:t>:</w:t>
      </w:r>
    </w:p>
    <w:p w:rsidR="00E85E31" w:rsidRDefault="00E85E31" w:rsidP="00E85E31">
      <w:pPr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нормативные акты, определяющие проведение конкурентных процедур в рамках гражданского законодательства Российской Федерации (Федеральный закон от 18.07.2011 г. № 223-ФЗ «О закупках товаров, работ, услуг отдельными видами юридических лиц»; Федеральный закон от 26.07.2006 г. № 135-ФЗ «О защите конкуренции» и др.); </w:t>
      </w:r>
    </w:p>
    <w:p w:rsidR="00E85E31" w:rsidRDefault="00E85E31" w:rsidP="00E85E31">
      <w:pPr>
        <w:spacing w:line="360" w:lineRule="auto"/>
        <w:ind w:left="708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акты, регламентирующие закупки государственных компаний (Федеральный закон от 21.07.2005 г. № 94-ФЗ «О размещении заказов на поставки товаров, выполнение работ, оказание услуг для государственных и муниципальных нужд»; </w:t>
      </w:r>
    </w:p>
    <w:p w:rsidR="00E85E31" w:rsidRDefault="00E85E31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27.10.2006 г. № 631 «Об утверждении Положения о взаимодействии государственных и муниципальных заказчиков, органов, уполномоченных на осуществление функций по размещению заказов для государственных или муниципальных заказчиков, при проведении совместных торгов» и др.) и т.п. 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использование дифференцированных механизмов стимулирования перспективного развития производственной инфраструктуры; 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результативное управление проектами по развитию производственной инфраструктуры; 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формирование единого институционального, информационного, организационного, финансового пространства в субъектах РФ для осуществления целевого развития на принципах ГЧП и др. 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РФ функционирует единый субъект поддержки реализации проектов на основе государственно-частного партнерства – Государственная корпорация «Банк развития и внешнеэкономической деятельности» (Внешэкономбанк). Внешэкономбанк активно участвует в осуществлении крупных проектов на основе ГЧП, таких как: 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− модернизация аэропорта «Пулково» (г. Санкт-Петербург); − строительство и реконструкции объектов водоснабжения и водоотведения г. Ростов-на-Дону и юго-запада Ростовской области (г. Ростов, Ростовская область);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развитие транспортного и логистического узла «Западный скоростной диаметр» (г. Санкт-Петербург); − строительство участка скоростн</w:t>
      </w:r>
      <w:r w:rsidR="00E85E31">
        <w:rPr>
          <w:rFonts w:ascii="Times New Roman" w:hAnsi="Times New Roman" w:cs="Times New Roman"/>
          <w:sz w:val="28"/>
          <w:szCs w:val="28"/>
        </w:rPr>
        <w:t>ой автомагистрали Москва- Санкт-</w:t>
      </w:r>
      <w:r w:rsidRPr="00013645">
        <w:rPr>
          <w:rFonts w:ascii="Times New Roman" w:hAnsi="Times New Roman" w:cs="Times New Roman"/>
          <w:sz w:val="28"/>
          <w:szCs w:val="28"/>
        </w:rPr>
        <w:t>Петербург (г. Москва, Московская область);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формирование инженерной инфраструктуры индустриальных парков Калужской области (Калужская область).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Важно подчеркнуть, что все проекты нацелены на формирование и модернизацию территориально ориентированной производственной инфраструктуры. Также при активном участии Внешэкономбанка для активизации разработки и реализации проектов на основе ГЧП в 2008 г. был создан Центр государственно-частного партнерства. Стоит отметить, что у Внешэкономбанка есть ряд объективных и субъективных предпосылок для эффективной поддержки проектов на основе ГЧП: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стабильное финансово-экономическое положение как одного из самых крупных государственных банков российской банковской системы; − поддержка собственного развития со стороны Правительства РФ и Центрального банка РФ; 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lastRenderedPageBreak/>
        <w:t>− наличие стабильных связей у банка на рынке внешних заимствований, сформированных при функционировании еще в советский и весь российский период;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наличие значительных активов;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разнообразная деятельность банка, определяющая значительные обороты ликвидности на счетах и др. 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Кроме того, существенным фактором, способствующим возможности со стороны Внешэкономбанка поддерживать проекты на основе ГЧП, являются связи банка с институтами инвестиционного развития международного, межрегионального и федерального уровня, взаимодействие с которыми российских предпринимателей Внешэкономбанк готов субсидировать: 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− международные финансовые институты развития: Международный банк реконструкции и развития, Международная Финансовая Корпорация, Международная Ассоциация развития;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зарубежные региональные финансовые институты развития: Европейский банк реконструкции и развития, Европейский инвестиционный банк, Банк развития Совета Европы, Азиатский банк развития и др.;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институты развития стран СНГ: Банк развития Казахстана, АО «Фонд национального благосостояния «Самрук-Казына», Национальный банк внешнеэкономической деятельности Республики Узбекистан, Фонд реконструкции и развития Республики Узбекистан, Республиканское унитарное предприятие экспортно-импортного страхования Республики Беларусь, ОАО «Банк развития Беларуси» и др.; </w:t>
      </w:r>
    </w:p>
    <w:p w:rsidR="00E85E31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нефинансовые институты развития Российской Федерации: ОАО «Роснано», ГК «Ростехнологии», ГК «Фонд содействия реформированию </w:t>
      </w:r>
      <w:r w:rsidRPr="00013645">
        <w:rPr>
          <w:rFonts w:ascii="Times New Roman" w:hAnsi="Times New Roman" w:cs="Times New Roman"/>
          <w:sz w:val="28"/>
          <w:szCs w:val="28"/>
        </w:rPr>
        <w:lastRenderedPageBreak/>
        <w:t xml:space="preserve">жилищно-коммунального хозяйства», ОАО «Российский инвестиционный фонд информационно-коммуникационных технологий» и др. </w:t>
      </w:r>
    </w:p>
    <w:p w:rsidR="00875673" w:rsidRDefault="00E85E31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промышленном комплексе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в настоящее время использование государственно-частного партнерства преимущественно ориентировано на развитие социальной инфраструктуры и в незначительной степени производственной. Существует положительный опыт реализации проектов развития производственной инфраструктуры на основе ГЧП в субъектах РФ, что обуславливает возможн</w:t>
      </w:r>
      <w:r>
        <w:rPr>
          <w:rFonts w:ascii="Times New Roman" w:hAnsi="Times New Roman" w:cs="Times New Roman"/>
          <w:sz w:val="28"/>
          <w:szCs w:val="28"/>
        </w:rPr>
        <w:t>ость его использования в промышленном комплексе в целом</w:t>
      </w:r>
      <w:r w:rsidR="00A8493F" w:rsidRPr="00013645">
        <w:rPr>
          <w:rFonts w:ascii="Times New Roman" w:hAnsi="Times New Roman" w:cs="Times New Roman"/>
          <w:sz w:val="28"/>
          <w:szCs w:val="28"/>
        </w:rPr>
        <w:t>. По данным Центра государственно-частного партнерства в 60 регионах РФ в настоящее время разрабатывается и реализуется</w:t>
      </w:r>
      <w:r w:rsidR="00875673">
        <w:rPr>
          <w:rFonts w:ascii="Times New Roman" w:hAnsi="Times New Roman" w:cs="Times New Roman"/>
          <w:sz w:val="28"/>
          <w:szCs w:val="28"/>
        </w:rPr>
        <w:t xml:space="preserve"> большой ряд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ГЧП- проект</w:t>
      </w:r>
      <w:r w:rsidR="00875673">
        <w:rPr>
          <w:rFonts w:ascii="Times New Roman" w:hAnsi="Times New Roman" w:cs="Times New Roman"/>
          <w:sz w:val="28"/>
          <w:szCs w:val="28"/>
        </w:rPr>
        <w:t>ов</w:t>
      </w:r>
      <w:r w:rsidR="00A8493F" w:rsidRPr="00013645">
        <w:rPr>
          <w:rFonts w:ascii="Times New Roman" w:hAnsi="Times New Roman" w:cs="Times New Roman"/>
          <w:sz w:val="28"/>
          <w:szCs w:val="28"/>
        </w:rPr>
        <w:t>,</w:t>
      </w:r>
      <w:r w:rsidR="00875673">
        <w:rPr>
          <w:rFonts w:ascii="Times New Roman" w:hAnsi="Times New Roman" w:cs="Times New Roman"/>
          <w:sz w:val="28"/>
          <w:szCs w:val="28"/>
        </w:rPr>
        <w:t xml:space="preserve"> при этом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в 83 регионах разработана нормативно-правовая база ГЧП и системы управления данными проектами. Средний ср</w:t>
      </w:r>
      <w:r w:rsidR="00875673">
        <w:rPr>
          <w:rFonts w:ascii="Times New Roman" w:hAnsi="Times New Roman" w:cs="Times New Roman"/>
          <w:sz w:val="28"/>
          <w:szCs w:val="28"/>
        </w:rPr>
        <w:t>ок реализации ГЧП- проектов почти 13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лет – соответственно данные проекты являются одной из форм реализации долгосрочных инвестиционных проектов, в том числе в сфере развития производственной инфраструктуры. </w:t>
      </w:r>
      <w:r w:rsidR="00875673">
        <w:rPr>
          <w:rFonts w:ascii="Times New Roman" w:hAnsi="Times New Roman" w:cs="Times New Roman"/>
          <w:sz w:val="28"/>
          <w:szCs w:val="28"/>
        </w:rPr>
        <w:t>Автором, на основании статданных  была произведена градация регионов РФ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по</w:t>
      </w:r>
      <w:r w:rsidR="00875673"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реализации ГЧП-проектов</w:t>
      </w:r>
      <w:r w:rsidR="00875673">
        <w:rPr>
          <w:rFonts w:ascii="Times New Roman" w:hAnsi="Times New Roman" w:cs="Times New Roman"/>
          <w:sz w:val="28"/>
          <w:szCs w:val="28"/>
        </w:rPr>
        <w:t>, в т.ч. инфраструктурного характера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. </w:t>
      </w:r>
      <w:r w:rsidR="00875673">
        <w:rPr>
          <w:rFonts w:ascii="Times New Roman" w:hAnsi="Times New Roman" w:cs="Times New Roman"/>
          <w:sz w:val="28"/>
          <w:szCs w:val="28"/>
        </w:rPr>
        <w:t>Лидером шкалы явился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 г. Санкт- Петербург – 73,9 %, что обусловлено тем, что в данном городе впервые в РФ начался процесс развития ГЧП-проектов</w:t>
      </w:r>
      <w:r w:rsidR="00875673">
        <w:rPr>
          <w:rFonts w:ascii="Times New Roman" w:hAnsi="Times New Roman" w:cs="Times New Roman"/>
          <w:sz w:val="28"/>
          <w:szCs w:val="28"/>
        </w:rPr>
        <w:t>.</w:t>
      </w:r>
      <w:r w:rsidR="00875673" w:rsidRPr="00875673">
        <w:rPr>
          <w:rFonts w:ascii="Times New Roman" w:hAnsi="Times New Roman" w:cs="Times New Roman"/>
          <w:sz w:val="28"/>
          <w:szCs w:val="28"/>
        </w:rPr>
        <w:t xml:space="preserve"> </w:t>
      </w:r>
      <w:r w:rsidR="00875673">
        <w:rPr>
          <w:rFonts w:ascii="Times New Roman" w:hAnsi="Times New Roman" w:cs="Times New Roman"/>
          <w:sz w:val="28"/>
          <w:szCs w:val="28"/>
        </w:rPr>
        <w:t xml:space="preserve"> </w:t>
      </w:r>
      <w:r w:rsidR="00875673" w:rsidRPr="00013645">
        <w:rPr>
          <w:rFonts w:ascii="Times New Roman" w:hAnsi="Times New Roman" w:cs="Times New Roman"/>
          <w:sz w:val="28"/>
          <w:szCs w:val="28"/>
        </w:rPr>
        <w:t>В п</w:t>
      </w:r>
      <w:r w:rsidR="00875673">
        <w:rPr>
          <w:rFonts w:ascii="Times New Roman" w:hAnsi="Times New Roman" w:cs="Times New Roman"/>
          <w:sz w:val="28"/>
          <w:szCs w:val="28"/>
        </w:rPr>
        <w:t>ервой десятке регионов и город федерального значения следует отметить следующие -</w:t>
      </w:r>
      <w:r w:rsidR="00875673" w:rsidRPr="00013645">
        <w:rPr>
          <w:rFonts w:ascii="Times New Roman" w:hAnsi="Times New Roman" w:cs="Times New Roman"/>
          <w:sz w:val="28"/>
          <w:szCs w:val="28"/>
        </w:rPr>
        <w:t xml:space="preserve"> Республика Татарстан (2 место – 70,6 %), Нижегородская область (5 место – 62,3 %), Самар</w:t>
      </w:r>
      <w:r w:rsidR="00875673">
        <w:rPr>
          <w:rFonts w:ascii="Times New Roman" w:hAnsi="Times New Roman" w:cs="Times New Roman"/>
          <w:sz w:val="28"/>
          <w:szCs w:val="28"/>
        </w:rPr>
        <w:t>ская область (8 место – 54,3 %)</w:t>
      </w:r>
      <w:r w:rsidR="00A8493F" w:rsidRPr="00013645">
        <w:rPr>
          <w:rFonts w:ascii="Times New Roman" w:hAnsi="Times New Roman" w:cs="Times New Roman"/>
          <w:sz w:val="28"/>
          <w:szCs w:val="28"/>
        </w:rPr>
        <w:t xml:space="preserve">. В структуре проектов, реализуемых на основе ГЧП, 52 проекта (39,7 %) ориентированы на развитие элементов производственной инфраструктуры. В Приволжском федеральном округе наблюдается явная социальная ориентация ГЧП-проектов – 76,5 % всех ГЧП-проектов. </w:t>
      </w:r>
    </w:p>
    <w:p w:rsidR="00875673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В Дальневосточном и Северном федеральном округе ГЧП-проекты в основном ориентированы на развитие производственной инфраструктуры. Показательным является пример реализации ГЧП-проектов на территории </w:t>
      </w:r>
      <w:r w:rsidRPr="00013645">
        <w:rPr>
          <w:rFonts w:ascii="Times New Roman" w:hAnsi="Times New Roman" w:cs="Times New Roman"/>
          <w:sz w:val="28"/>
          <w:szCs w:val="28"/>
        </w:rPr>
        <w:lastRenderedPageBreak/>
        <w:t>лидера данного процесса – г. Санкт-Петербург, большинство проектов ориентированы на развитие территориально ориентированной производственной инфраструктуры</w:t>
      </w:r>
      <w:r w:rsidR="00875673">
        <w:rPr>
          <w:rFonts w:ascii="Times New Roman" w:hAnsi="Times New Roman" w:cs="Times New Roman"/>
          <w:sz w:val="28"/>
          <w:szCs w:val="28"/>
        </w:rPr>
        <w:t>, в т.ч.</w:t>
      </w:r>
      <w:r w:rsidRPr="00013645">
        <w:rPr>
          <w:rFonts w:ascii="Times New Roman" w:hAnsi="Times New Roman" w:cs="Times New Roman"/>
          <w:sz w:val="28"/>
          <w:szCs w:val="28"/>
        </w:rPr>
        <w:t>:</w:t>
      </w:r>
    </w:p>
    <w:p w:rsidR="00875673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реконструкция Северной станции ГУП «Водоканал СПб» на условиях ГЧП; − полная реконструкция 115 котельных и наружных тепловых сетей Петроградского района Санкт-Петербурга; </w:t>
      </w:r>
    </w:p>
    <w:p w:rsidR="00875673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строительство и введение в строй тепломагистрали от Северо-Западной ТЭЦ к Приморской котельной; </w:t>
      </w:r>
    </w:p>
    <w:p w:rsidR="00875673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строительство Юго-Западной ТЭЦ; </w:t>
      </w:r>
    </w:p>
    <w:p w:rsidR="00875673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строительство ТЭЦ «Парнас»; </w:t>
      </w:r>
    </w:p>
    <w:p w:rsidR="00875673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− строительство западного скоростного диаметра;</w:t>
      </w:r>
    </w:p>
    <w:p w:rsidR="00875673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проектирование и строительство платного транспортного Орловского тоннеля под рекой Невой и др. </w:t>
      </w:r>
    </w:p>
    <w:p w:rsidR="00A8493F" w:rsidRDefault="00A8493F" w:rsidP="00E85E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Данные примеры по развитию производственной инфраструктуры необходимо изучать и использовать в условиях региона. Особо следует отметить, что большинство из ГЧП-проектов в РФ на 2014 г. находятся на стадии реализации – 57 % и разработки – 24 %. Реализованных </w:t>
      </w:r>
      <w:r>
        <w:rPr>
          <w:rFonts w:ascii="Times New Roman" w:hAnsi="Times New Roman" w:cs="Times New Roman"/>
          <w:sz w:val="28"/>
          <w:szCs w:val="28"/>
        </w:rPr>
        <w:t>ГЧП-проектов в РФ к 2014 г. 9 %.</w:t>
      </w:r>
      <w:r w:rsidRPr="00013645">
        <w:rPr>
          <w:rFonts w:ascii="Times New Roman" w:hAnsi="Times New Roman" w:cs="Times New Roman"/>
          <w:sz w:val="28"/>
          <w:szCs w:val="28"/>
        </w:rPr>
        <w:t xml:space="preserve"> В регионах имеется опыт реализации значительного разнообразия форм организационно-экономического обеспечения развития производственной инфраструктуры, самой распространенной из которых до недавнего времени были бизнес-инкубаторы. По результатам исследования было выявлено, что в субъектах РФ наиболее распространенными формами организационно-экономического обеспечения развития производственной инфраструктуры являются − бизнес инкубаторы – представлены в 69,2 % субъектов РФ; − технопарки – представлены в 69,2 % субъектов РФ; − инновационные центры – представлены в 48,7 % субъектов РФ; − научно-</w:t>
      </w:r>
      <w:r w:rsidRPr="00013645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образовательные комплексы – представлены в 35,9 % субъектов РФ; − инвестиционные центры – представлены в 23,1 % субъектов РФ. 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Следует отметить, что наблюдается дифференциация в количестве используемых форм организационно-экономического обеспечения развития производственной инфраструктуры в субъектах РФ. Число форм изменяется от 4-5 (Республика Башкортостан, Красноярский край, Курганская область) до 10-11 (Брянская область, Липецкая область, Самарская область). Также бизнес-инкубаторы до недавнего времени были самой представленной по общему количеству формой организационно- экономического обеспечения развития производственной инфраструктуры на региональном уровне. Это стало результатом той политики, которая проводилась в государстве. К примеру, в Кировской области функционируют Слободской муниципальный фонд Бизнес-инкубатор им. К.А. Анфилатова; Кирово-Чепецкий муниципальный Бизнес-инкубатор; Некоммерческая организация НОУ «Учебно-деловой молодёжный центр (Бизнес-инкубатор)». В Курганской области работают ГУП «Бизнес-инкубатор Курганской области»; студенческий бизнес-инкубатор «Идея»; студенческий инновационный бизнес-инкубатор «Ювента»; Шадринский городской бизнес-инкубатор «Лига». Примерно аналогичная ситуация наблюдается и в других субъектах РФ. При этом можно наблюдать некоторую дифференциацию в сформулированных и решаемых задачах. Ситуация с технопарками несколько иная. В большинстве регионов они представлены ограниченным числом – один - два. К примеру, в Приволжском федеральном округе в Республике Башкортостан функционирует технопарк ОАО «РусГидро Башкортостан Эффективность» (РБЭФ), в Кировской области – ОАО «Промышленный парк», в Республике Марий Эл – Научно-технологический парк ГОУ ВПО МарГТУ и т.д. Хотя присутствуют регионы, в которых данная форма более распространена, но также ограничена: Нижегородская область – IT-парк «Орбита», Научно- технологический парк Нижегородского </w:t>
      </w:r>
      <w:r w:rsidRPr="00013645">
        <w:rPr>
          <w:rFonts w:ascii="Times New Roman" w:hAnsi="Times New Roman" w:cs="Times New Roman"/>
          <w:sz w:val="28"/>
          <w:szCs w:val="28"/>
        </w:rPr>
        <w:lastRenderedPageBreak/>
        <w:t>государственного технического университета, ОАО «Технопарк «Система–Саров»; Саратовская область - технопарк «Волгоагротехника», научно-технологический парк «Волга- техника» СГТУ, инновационный центр «Технопарк СГУ» при Саратовском государственном университете и т.д. В Оренбургской области наблюдается обширное представительство организационно-экономического обеспечения поддержки инвестиционного развития производственной инфраструктуры</w:t>
      </w:r>
      <w:r w:rsidR="00875673">
        <w:rPr>
          <w:rFonts w:ascii="Times New Roman" w:hAnsi="Times New Roman" w:cs="Times New Roman"/>
          <w:sz w:val="28"/>
          <w:szCs w:val="28"/>
        </w:rPr>
        <w:t xml:space="preserve"> промышленного комплекса</w:t>
      </w:r>
      <w:r w:rsidRPr="00013645">
        <w:rPr>
          <w:rFonts w:ascii="Times New Roman" w:hAnsi="Times New Roman" w:cs="Times New Roman"/>
          <w:sz w:val="28"/>
          <w:szCs w:val="28"/>
        </w:rPr>
        <w:t>. При всем разнообразии представительства организационно- экономического обеспечения поддержки инвестиционного развития производственной инфраструктуры</w:t>
      </w:r>
      <w:r w:rsidR="00875673">
        <w:rPr>
          <w:rFonts w:ascii="Times New Roman" w:hAnsi="Times New Roman" w:cs="Times New Roman"/>
          <w:sz w:val="28"/>
          <w:szCs w:val="28"/>
        </w:rPr>
        <w:t xml:space="preserve"> промышленного комплекса</w:t>
      </w:r>
      <w:r w:rsidRPr="00013645">
        <w:rPr>
          <w:rFonts w:ascii="Times New Roman" w:hAnsi="Times New Roman" w:cs="Times New Roman"/>
          <w:sz w:val="28"/>
          <w:szCs w:val="28"/>
        </w:rPr>
        <w:t xml:space="preserve">. результативность его функционирования остается недостаточной. Это вызвано рядом особенностей: 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− ориентация в собственной деятельности на поддержку и развитие малого и среднего предпринимательства, что имеет ряд ограничений, так как многие объекты производственной инфраструктуры</w:t>
      </w:r>
      <w:r w:rsidR="00875673">
        <w:rPr>
          <w:rFonts w:ascii="Times New Roman" w:hAnsi="Times New Roman" w:cs="Times New Roman"/>
          <w:sz w:val="28"/>
          <w:szCs w:val="28"/>
        </w:rPr>
        <w:t xml:space="preserve"> промышленного комплекса</w:t>
      </w:r>
      <w:r w:rsidRPr="00013645">
        <w:rPr>
          <w:rFonts w:ascii="Times New Roman" w:hAnsi="Times New Roman" w:cs="Times New Roman"/>
          <w:sz w:val="28"/>
          <w:szCs w:val="28"/>
        </w:rPr>
        <w:t xml:space="preserve"> связаны с крупным бизнесом;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невыполнение данными структурами интеграционных функций, что не дает концентрировать необходимые ресурсы на приоритетных направлениях развития производственной инфраструктуры</w:t>
      </w:r>
      <w:r w:rsidR="00875673">
        <w:rPr>
          <w:rFonts w:ascii="Times New Roman" w:hAnsi="Times New Roman" w:cs="Times New Roman"/>
          <w:sz w:val="28"/>
          <w:szCs w:val="28"/>
        </w:rPr>
        <w:t xml:space="preserve"> промышленного комплекса</w:t>
      </w:r>
      <w:r w:rsidRPr="0001364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недостаточная связь данных структур с бизнес сообществом и органами государственной власти региона, что делает их в определенном смысле, отстраненными от инвестиционного процесса; 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− недостаточная внутренняя инвестиционная база данных структур, которая резко ограничивает возможности поддержки с их стороны инвестиционных проектов развития производственной инфраструктуры</w:t>
      </w:r>
      <w:r w:rsidR="00875673">
        <w:rPr>
          <w:rFonts w:ascii="Times New Roman" w:hAnsi="Times New Roman" w:cs="Times New Roman"/>
          <w:sz w:val="28"/>
          <w:szCs w:val="28"/>
        </w:rPr>
        <w:t xml:space="preserve"> промышленного комплекса</w:t>
      </w:r>
      <w:r w:rsidRPr="00013645">
        <w:rPr>
          <w:rFonts w:ascii="Times New Roman" w:hAnsi="Times New Roman" w:cs="Times New Roman"/>
          <w:sz w:val="28"/>
          <w:szCs w:val="28"/>
        </w:rPr>
        <w:t>;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lastRenderedPageBreak/>
        <w:t xml:space="preserve"> − недостаточное понимание собственной миссии и отсутствие целевых количественных ориентиров в развитии, определяющих некоторый бессистемный характер внутреннее логики функционирования и др. 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промышленном секторе </w:t>
      </w:r>
      <w:r w:rsidRPr="00013645">
        <w:rPr>
          <w:rFonts w:ascii="Times New Roman" w:hAnsi="Times New Roman" w:cs="Times New Roman"/>
          <w:sz w:val="28"/>
          <w:szCs w:val="28"/>
        </w:rPr>
        <w:t>применяется широкий спектр финансовых инструментов государственной поддержки развития производст</w:t>
      </w:r>
      <w:r w:rsidR="00875673">
        <w:rPr>
          <w:rFonts w:ascii="Times New Roman" w:hAnsi="Times New Roman" w:cs="Times New Roman"/>
          <w:sz w:val="28"/>
          <w:szCs w:val="28"/>
        </w:rPr>
        <w:t>венной инфраструктуры. В регионах</w:t>
      </w:r>
      <w:r w:rsidRPr="00013645">
        <w:rPr>
          <w:rFonts w:ascii="Times New Roman" w:hAnsi="Times New Roman" w:cs="Times New Roman"/>
          <w:sz w:val="28"/>
          <w:szCs w:val="28"/>
        </w:rPr>
        <w:t xml:space="preserve"> для поддержки развития производственной инфраструктуры</w:t>
      </w:r>
      <w:r w:rsidR="00875673">
        <w:rPr>
          <w:rFonts w:ascii="Times New Roman" w:hAnsi="Times New Roman" w:cs="Times New Roman"/>
          <w:sz w:val="28"/>
          <w:szCs w:val="28"/>
        </w:rPr>
        <w:t xml:space="preserve"> промышленного комплекса</w:t>
      </w:r>
      <w:r w:rsidRPr="00013645">
        <w:rPr>
          <w:rFonts w:ascii="Times New Roman" w:hAnsi="Times New Roman" w:cs="Times New Roman"/>
          <w:sz w:val="28"/>
          <w:szCs w:val="28"/>
        </w:rPr>
        <w:t xml:space="preserve"> используются разнообразные финансовые инструменты в виде предоставления: пониженной ставки налога на прибыль организации; льготы по налогу на имущество организаций; льгот по аренде имущества и объектов недвижимости; инвестиционного налогового кредита; обеспечения обязательств инвестора залогом имущества государственной собственности; государственных гарантий; грантов на реализацию инвестиционных проектов в сфере энергосбережения и повышения энергоэффективности; субсидий предприятиям машиностроительного комплекса; субсидий МСП на возмещение части затрат по договорам финансовой аренды (лизинга); субсидий МСП, сельскохозяйственным кредитным потребительским кооперативам; экспертизы и сопровождения инвестиционных проектов. Тем не менее, их использование в целях развития производственной инфраструктуры в регионе пока не в той степени результативно, что связано с рядом причин: 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слабая информированность бизнеса о всех возможностях использования инструментов государственной поддержки развития; 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− ограниченность финансовых ресурсов использования декларируемых инструментов; 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− сложность процедуры получения государственной поддержки;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слабость консалтинга в данной сфере;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lastRenderedPageBreak/>
        <w:t xml:space="preserve"> − отсутствие региональных целевых ориентиров осуществления представляемой поддержки и др. </w:t>
      </w:r>
    </w:p>
    <w:p w:rsidR="00A8493F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Координацию инфраструктурного развития регионов РФ осуществляет единый орган – Автономная некоммерческая организация «Агентство стратегических инициатив по продвижению новых 125 проектов», однако в задачах данной структуры отдельно не отражена необходимость развития производственной инфраструктуры с целью активизации региональных экономик. Автономная некоммерческая организация «Агентство стратегических инициатив по продвижению новых проектов» создана во исполнение поручений Председателя Правительства Российской Федерации В.В.Путина от 17 мая 2011 г. № ВП-П16-3168 (пункт 15) и от 27 мая 2011 г. № ВП-П13- 3511. В совокупность задач агентства входит: содействие инициированию и продвижению общественно значимых проектов субъектов среднего предпринимательства, в том числе в социальной сфере; продвижение инициатив по улучшению предпринимательского климата, содействие преодолению барьеров в развитии субъектов среднего предпринимательства, в том числе в социальной сфере; содействие в развитии и продвижении молодых профессиональных коллективов, реализующих социально значимые проекты, и активизации предпринимательской деятельности в социальной сфере; содействие развитию форм поддержки проектов и инициатив в социальной сфере, в том числе с использованием целевого капитала и иных финансовых инструментов и т.п. Необходимость ускоренного развития производственной инфраструктуры как катализатора регионального развития не выделена, что негативно сказывается на управляемости данного процесса в целом, что мы можем наблюдать на практике. Под эгидой агентства реализуются 167 бизнес-проектов, 113 образовательных проектов, 111 социальных проектов (всего 391 проект). Для активизации развития производственной инфраструктуры в регионах РФ сформирована сеть корпораций развития. </w:t>
      </w:r>
    </w:p>
    <w:p w:rsidR="00875673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lastRenderedPageBreak/>
        <w:t>Как показал анализ, финансирование проектов по развитию производственной инфраструктуры</w:t>
      </w:r>
      <w:r w:rsidR="00A377C9">
        <w:rPr>
          <w:rFonts w:ascii="Times New Roman" w:hAnsi="Times New Roman" w:cs="Times New Roman"/>
          <w:sz w:val="28"/>
          <w:szCs w:val="28"/>
        </w:rPr>
        <w:t xml:space="preserve"> промышленного комплекса</w:t>
      </w:r>
      <w:r w:rsidRPr="00013645">
        <w:rPr>
          <w:rFonts w:ascii="Times New Roman" w:hAnsi="Times New Roman" w:cs="Times New Roman"/>
          <w:sz w:val="28"/>
          <w:szCs w:val="28"/>
        </w:rPr>
        <w:t xml:space="preserve"> происходит из следующих источников: </w:t>
      </w:r>
    </w:p>
    <w:p w:rsidR="00A377C9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− доходы от аренды земельных участков инвесторами на территориях индустриальных парков;</w:t>
      </w:r>
    </w:p>
    <w:p w:rsidR="00A377C9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субсидии из областного бюджета субъекта РФ; </w:t>
      </w:r>
    </w:p>
    <w:p w:rsidR="00A377C9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>− заемные средства;</w:t>
      </w:r>
    </w:p>
    <w:p w:rsidR="00A377C9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− привлеченные финансы инвесторов; − средства институтов развития различного уровня.</w:t>
      </w:r>
    </w:p>
    <w:p w:rsidR="00A8493F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В настоящее время в муниципальных образованиях субъектов РФ получают развитие инвестиционные площадки, которые могут стать 127 новым направлением организационно-экономического обеспечения развития производственной инфраструктуры в регионе. Для повышения управляемости перспективного развития производственной инфраструктуры в настоящее время в муниципальных образованиях субъектов (МО) РФ происходит внедрение комплекса инвестиционных площадок. По результатам проведенного исследования нами было выявлено, что инвестиционные площадки необходимо классифицировать по особенностям перспективного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493F" w:rsidRPr="00013645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64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большинстве регионов РФ </w:t>
      </w:r>
      <w:r w:rsidRPr="00013645">
        <w:rPr>
          <w:rFonts w:ascii="Times New Roman" w:hAnsi="Times New Roman" w:cs="Times New Roman"/>
          <w:sz w:val="28"/>
          <w:szCs w:val="28"/>
        </w:rPr>
        <w:t xml:space="preserve">преобладают инвестиционные площадки третьего типа, а также значительная доля инвестиционных площадок ориентирована на модернизацию имеющихся производств и развитие социальной инфраструктуры. Инвестиционных площадок, ориентированных на развитие производственной инфраструктуры в регионе, не более 5 % от общего числа заявленных, все они являются территориально ориентированными. В регионах РФ большое количество инвестиционных площадок целевого характера реализуется посредством организации </w:t>
      </w:r>
      <w:r w:rsidRPr="00013645">
        <w:rPr>
          <w:rFonts w:ascii="Times New Roman" w:hAnsi="Times New Roman" w:cs="Times New Roman"/>
          <w:sz w:val="28"/>
          <w:szCs w:val="28"/>
        </w:rPr>
        <w:lastRenderedPageBreak/>
        <w:t xml:space="preserve">индустриальных парков, дающих возможность для организации широкого круги производственных и инфраструктурных проектов. Также в РФ создана федеральная база </w:t>
      </w:r>
      <w:r w:rsidR="0061077C">
        <w:rPr>
          <w:rFonts w:ascii="Times New Roman" w:hAnsi="Times New Roman" w:cs="Times New Roman"/>
          <w:sz w:val="28"/>
          <w:szCs w:val="28"/>
        </w:rPr>
        <w:t>инвестиционных площадок</w:t>
      </w:r>
      <w:r w:rsidRPr="00013645">
        <w:rPr>
          <w:rFonts w:ascii="Times New Roman" w:hAnsi="Times New Roman" w:cs="Times New Roman"/>
          <w:sz w:val="28"/>
          <w:szCs w:val="28"/>
        </w:rPr>
        <w:t>, в которой сосредоточены данные по большому количеству инвестиционных площадок в субъектах России. Изучив современное организационно-экономическое обеспечение развития производственной инфраструктуры в регионе необходимо предложить механизм управления развитием производственной 129 инфраструктуры в регионе, который бы учитывал весь положительный опыт реализации данного явления.</w:t>
      </w:r>
    </w:p>
    <w:p w:rsidR="00A8493F" w:rsidRPr="000A4528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0A4528">
        <w:rPr>
          <w:rFonts w:ascii="Times New Roman" w:hAnsi="Times New Roman" w:cs="Times New Roman"/>
          <w:sz w:val="28"/>
          <w:szCs w:val="28"/>
        </w:rPr>
        <w:t>ормирование межотраслевых связей, и повышение концентрации производственного капитала в современных условиях ведет к тому, что реализация все большей части современных высокотехнологичных производств становится возможной только на базе межотраслевых интеграционных образований. При этом ключевую роль в данном процессе играет вертикальный тип интеграции, как наиболее эффективный тип разделения труда и объединения усилий для достижения общей цели.</w:t>
      </w:r>
    </w:p>
    <w:p w:rsidR="00A8493F" w:rsidRPr="000A4528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 xml:space="preserve">Исследуя проблематику интеграционных образований в экономике, </w:t>
      </w:r>
      <w:r w:rsidR="00A377C9">
        <w:rPr>
          <w:rFonts w:ascii="Times New Roman" w:hAnsi="Times New Roman" w:cs="Times New Roman"/>
          <w:sz w:val="28"/>
          <w:szCs w:val="28"/>
        </w:rPr>
        <w:t xml:space="preserve">автор представил в ряде своих научных статей в журналах, рекомендованных для публикации ВАК </w:t>
      </w:r>
      <w:r w:rsidRPr="000A4528">
        <w:rPr>
          <w:rFonts w:ascii="Times New Roman" w:hAnsi="Times New Roman" w:cs="Times New Roman"/>
          <w:sz w:val="28"/>
          <w:szCs w:val="28"/>
        </w:rPr>
        <w:t>схему формирования эффектов в рамках вертикальных межотраслевых объединений. Опираясь на</w:t>
      </w:r>
      <w:r w:rsidR="0061077C">
        <w:rPr>
          <w:rFonts w:ascii="Times New Roman" w:hAnsi="Times New Roman" w:cs="Times New Roman"/>
          <w:sz w:val="28"/>
          <w:szCs w:val="28"/>
        </w:rPr>
        <w:t xml:space="preserve"> указанную схему, авторы</w:t>
      </w:r>
      <w:r w:rsidRPr="000A4528">
        <w:rPr>
          <w:rFonts w:ascii="Times New Roman" w:hAnsi="Times New Roman" w:cs="Times New Roman"/>
          <w:sz w:val="28"/>
          <w:szCs w:val="28"/>
        </w:rPr>
        <w:t xml:space="preserve"> обосновал</w:t>
      </w:r>
      <w:r w:rsidR="0061077C">
        <w:rPr>
          <w:rFonts w:ascii="Times New Roman" w:hAnsi="Times New Roman" w:cs="Times New Roman"/>
          <w:sz w:val="28"/>
          <w:szCs w:val="28"/>
        </w:rPr>
        <w:t>и</w:t>
      </w:r>
      <w:r w:rsidRPr="000A4528">
        <w:rPr>
          <w:rFonts w:ascii="Times New Roman" w:hAnsi="Times New Roman" w:cs="Times New Roman"/>
          <w:sz w:val="28"/>
          <w:szCs w:val="28"/>
        </w:rPr>
        <w:t>, что «межотраслевая вертикальная интеграция может являться ключевым фактором обеспечения высокой конкурентоспособности производственных структур в т.ч. и в рамках снижения зависимости производственной к</w:t>
      </w:r>
      <w:r w:rsidR="00A377C9">
        <w:rPr>
          <w:rFonts w:ascii="Times New Roman" w:hAnsi="Times New Roman" w:cs="Times New Roman"/>
          <w:sz w:val="28"/>
          <w:szCs w:val="28"/>
        </w:rPr>
        <w:t>омпании от рыночных посредников</w:t>
      </w:r>
      <w:r w:rsidRPr="000A4528">
        <w:rPr>
          <w:rFonts w:ascii="Times New Roman" w:hAnsi="Times New Roman" w:cs="Times New Roman"/>
          <w:sz w:val="28"/>
          <w:szCs w:val="28"/>
        </w:rPr>
        <w:t xml:space="preserve">. В частности, </w:t>
      </w:r>
      <w:r w:rsidR="00A377C9">
        <w:rPr>
          <w:rFonts w:ascii="Times New Roman" w:hAnsi="Times New Roman" w:cs="Times New Roman"/>
          <w:sz w:val="28"/>
          <w:szCs w:val="28"/>
        </w:rPr>
        <w:t xml:space="preserve">автором </w:t>
      </w:r>
      <w:r w:rsidRPr="000A4528">
        <w:rPr>
          <w:rFonts w:ascii="Times New Roman" w:hAnsi="Times New Roman" w:cs="Times New Roman"/>
          <w:sz w:val="28"/>
          <w:szCs w:val="28"/>
        </w:rPr>
        <w:t xml:space="preserve">было показано, что применение данного типа интеграции способствует снижению конечной стоимости продукции путем снижения затрат на промежуточное потребление как производителя, так и посредника, реализующего продукцию. В свою очередь, сокращение издержек, достигаемое в рамках межотраслевой вертикальной интеграции, </w:t>
      </w:r>
      <w:r w:rsidRPr="000A4528">
        <w:rPr>
          <w:rFonts w:ascii="Times New Roman" w:hAnsi="Times New Roman" w:cs="Times New Roman"/>
          <w:sz w:val="28"/>
          <w:szCs w:val="28"/>
        </w:rPr>
        <w:lastRenderedPageBreak/>
        <w:t>способствует значительному повышению конкурентоспособности предприятия через снижение затрат на сырье и реализацию продукции и ведет к повышению доходов и доли рынка.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Типичным примером вертикальной межотраслевой интеграции является кластер. В общем понимании кластер – это группа взаимосвязанных компаний, в которую входят поставщики сырья, производители, дистрибьюторы готовой продукции, предприятия инфраструктуры, научные организации и пр. субъекты, участвующие в производственном процессе. Более полное, с научной точки зрения, определение кластера можно найти в наиболее известной теории кластеров, представленной в трудах М.Портера. Так, ученый под кластером понимает «группу географически соседствующих, взаимосвязанных компаний (поставщики, производители и т.д.) и связанных с ними организаций (образовательные учреждения, органы государственного управления, инфраструктурные компании), действующих в определенной сфере и взаимодополняющих друг друга».</w:t>
      </w:r>
    </w:p>
    <w:p w:rsidR="00A8493F" w:rsidRPr="000A4528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 xml:space="preserve">Между тем, следует отметить, что единого подхода к сущности рассматриваемой категории сегодня не выработано ни в отечественной научной школе, ни в международной. Рассмотрев наиболее часто встречающиеся трактовки кластеров, </w:t>
      </w:r>
      <w:r w:rsidR="0061077C">
        <w:rPr>
          <w:rFonts w:ascii="Times New Roman" w:hAnsi="Times New Roman" w:cs="Times New Roman"/>
          <w:sz w:val="28"/>
          <w:szCs w:val="28"/>
        </w:rPr>
        <w:t>авторы предлагают</w:t>
      </w:r>
      <w:r w:rsidRPr="000A4528">
        <w:rPr>
          <w:rFonts w:ascii="Times New Roman" w:hAnsi="Times New Roman" w:cs="Times New Roman"/>
          <w:sz w:val="28"/>
          <w:szCs w:val="28"/>
        </w:rPr>
        <w:t xml:space="preserve"> общие признаки экономических кластеров: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концентрация субъектов кластера на определенной территории, обладающей особыми конкурентными преимуществами;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производственно-технологическое сотрудничество субъектов кластера с целью объединения усилий в рамках единого производственного процесса;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 xml:space="preserve">- четкая стратификация субъектов по роли в производственной деятельности – главная у предприятий, занятых непосредственным </w:t>
      </w:r>
      <w:r w:rsidRPr="000A4528">
        <w:rPr>
          <w:rFonts w:ascii="Times New Roman" w:hAnsi="Times New Roman" w:cs="Times New Roman"/>
          <w:sz w:val="28"/>
          <w:szCs w:val="28"/>
        </w:rPr>
        <w:lastRenderedPageBreak/>
        <w:t>производством продукции; второстепенная у предприятий, обеспечивающих поддержку главных в исполнении их роли;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большое число средних и малых предприятий, исполняющих, преимущественно, второстепенные роли;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эффективные механизмы взаимодействия между субъектами кластера;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высокий уровень инновационного процесса;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наличие как кооперационных, так и конкурентных преимуществ;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синергетический эффект от совместной деятельности;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Практически всегда центральным элементом кластера, его ядром, являются крупные производства, занятые непосредственным производством определенных товаров или услуг. Именно для повышения эффективности данного производства, а также повышения конкурентоспособности производимой продукции, и затевается создание кластера. С этой целью, вокруг предприятий ядра происходит кооперация предприятий периферии, как правило, малых и средних, занятых реализацией второстепенных производственных процессов, ориентированных на поддержание основного производства на предприятиях ядра. Данный процесс, зачастую сопровождается выводом непрофильных (научно-исследовательских, транспортных, финансовых, социальных) производственных процессов и активов из предприятий ядра в предприятия периферии. Кроме того, возникают новые виды деятельности, и расширяется сфера аутсорсинга. При этом состав предприятий периферии определяется производственной спецификой предприятий ядра и характером развивающихся кооперационных связей.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 xml:space="preserve">Развитие кластерного образования сопровождается процессом расширения состава субъектов интеграции – увеличивается количество </w:t>
      </w:r>
      <w:r w:rsidRPr="000A4528">
        <w:rPr>
          <w:rFonts w:ascii="Times New Roman" w:hAnsi="Times New Roman" w:cs="Times New Roman"/>
          <w:sz w:val="28"/>
          <w:szCs w:val="28"/>
        </w:rPr>
        <w:lastRenderedPageBreak/>
        <w:t>обслуживающих ядро предприятий, усиливается разделение труда и кооперация. Данный процесс сопровождается возникновением различного рода синергетических эффектов. В результате кластерное образование становится нечто большим, нежели простая сумма элементов его образующих. Возникают свойства, мультиплицирующие результаты деятельность и предприятий ядра, и предприятий периферии. Что в итоге положительным образом сказывается на повышении эффективности элементов кластера, главным образом предприятий ядра, и, как следствие, их конкурентоспособности.</w:t>
      </w:r>
    </w:p>
    <w:p w:rsidR="00A8493F" w:rsidRPr="000A4528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Таким образом, можно заключить, что кластер – это, как правило, форма межотраслевой интеграции предприятий, объединяющихся для извлечения кооперационных и конкурентных преимуществ с целью повышения эффективности производственной деятельности и повышения конкурентоспособности выпускаемой продукции. При этом основными элементами кластера, согласно И.Ю.Чуркиной, являются: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ядро, состоящее из одного или нескольких крупных предприятий, занятых производством непосредственного конечного продукта или группы продуктов, для производства которых и был сформирован конкретный кластер;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периферия, состоящая из поддерживающих предприятий, представленных, как правило, предприятиями иных отраслей, например, отраслей сферы услуг (производственная инфраструктура, финансы, логистика), занятых решением второстепенных производственных задач;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образовательные и научно-исследовательские учреждения, выполняющие роль инновационной основы кластерного образования;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тесные и эффективные связи между элементами кластера;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синергетические эффекты.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lastRenderedPageBreak/>
        <w:t>По мнению</w:t>
      </w:r>
      <w:r w:rsidR="003F5237">
        <w:rPr>
          <w:rFonts w:ascii="Times New Roman" w:hAnsi="Times New Roman" w:cs="Times New Roman"/>
          <w:sz w:val="28"/>
          <w:szCs w:val="28"/>
        </w:rPr>
        <w:t xml:space="preserve"> авторов</w:t>
      </w:r>
      <w:r w:rsidRPr="000A4528">
        <w:rPr>
          <w:rFonts w:ascii="Times New Roman" w:hAnsi="Times New Roman" w:cs="Times New Roman"/>
          <w:sz w:val="28"/>
          <w:szCs w:val="28"/>
        </w:rPr>
        <w:t>, основными факторами, определяющими формирование и развитие кластерного образования, являются: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высокий уровень технологической и научной инфраструктуры. Данное свойство определяет физическую возможность формирования кооперативных связей;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непосредственное наличие кооперации между участниками производственного процесса. Данное свойство определяет отношения между участниками интеграционного образования в рамках реализации единого производственного процесса;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наличие сформированной кластерной стратегии, определяющей конкретные точки роста, поддерживаемые государством. Данное свойство отражает наличие консенсуса между бизнес-структурами и местным сообществом по поводу перспективных направлений экономического развития территории, требующих кластерной организации;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наличие эффективного инструментария оперативного управления социально-экономической средой с целью создания условий для развития кооперации между участниками кластера. Данное свойство определяет возможности органов государственной власти оказывать оперативное воздействие на процессы, способствующие формированию и развитию кластеров;</w:t>
      </w:r>
    </w:p>
    <w:p w:rsidR="00A8493F" w:rsidRPr="000A4528" w:rsidRDefault="00A8493F" w:rsidP="003F5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наличие информационной среды, опосредующей обмен информацией между субъектами кластерного процесса. Данное свойство определят возможность обмена информацией о потребностях местного сообщества, а также между потенциальными участниками кооперации по поводу существующих технико-технологических и организационных возможностей разделения труда и повышения производственной эффективности.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lastRenderedPageBreak/>
        <w:t xml:space="preserve">Мировая практика развития кластерных образований переживает свою активную фазу. Вместе с тем, это позволяет выделить определенные направления в данном процессе. В </w:t>
      </w:r>
      <w:r w:rsidR="003F5237">
        <w:rPr>
          <w:rFonts w:ascii="Times New Roman" w:hAnsi="Times New Roman" w:cs="Times New Roman"/>
          <w:sz w:val="28"/>
          <w:szCs w:val="28"/>
        </w:rPr>
        <w:t xml:space="preserve">рамках проведенной работа авторами была систематизирована </w:t>
      </w:r>
      <w:r w:rsidRPr="000A4528">
        <w:rPr>
          <w:rFonts w:ascii="Times New Roman" w:hAnsi="Times New Roman" w:cs="Times New Roman"/>
          <w:sz w:val="28"/>
          <w:szCs w:val="28"/>
        </w:rPr>
        <w:t>информация по развитым странам, где наиболее часто встречаются межотраслевые интеграционные объединения в форме кластеров. Рассмотрим ряд примеров. Так, в Дании на рубеже 90-х годов прошлого века было проведено широкомасштабное исследование в рамках изучения кластерных процессов в экономике. В результате данного исследования стало возможным выявление критических проблем, препятствующих общему социально-экономическому развитию страны, а также были найдены способы стимулирования процессов кластерообразования. В результате, уже через десять лет экономика Дании стала одним из мировых лидеров по уровню кластеризации. В частности, в начале 2000-х годов в стране осуществляло свою деятельность три десятка крупнейших в мире кластеров, создавших основу для устойчивого социально-экономического развития страны.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Другим примером является кластерная политика Финляндии, также проводимая в начале 90-х годов прошлого века. Так, реализация кластерных инициатив позволили стране преодолеть глубокий экономический кризис. Если в 1991 году ВВП страны снизился на 7%, а объем промышленного производства сократился на 9%, то активная реализация кластерных инициатив способствовала бурному росту экономики уже во второй половине 90-х. В результате в стране были созданы лесной, информационный и телекоммуникационный кластеры – системообразующие элементы современной экономики Финляндии. А компании из этих кластеров стали известны по всему миру.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 xml:space="preserve">Еще одним примером является кластерная политика штата Канзас США. Так, в 2002 году по поручению губернатора штата и под руководством известного экономиста было проведено комплексное исследование четырех </w:t>
      </w:r>
      <w:r w:rsidRPr="000A4528">
        <w:rPr>
          <w:rFonts w:ascii="Times New Roman" w:hAnsi="Times New Roman" w:cs="Times New Roman"/>
          <w:sz w:val="28"/>
          <w:szCs w:val="28"/>
        </w:rPr>
        <w:lastRenderedPageBreak/>
        <w:t xml:space="preserve">десятков кластерных образований. По результатам исследования были сделаны выводы и сформулированы предложения по развитию инновационных отраслей экономики, взаимодействию с образовательными и научными учреждениями, коммерциализации технологий и инноваций, созданию рабочих мест. Частным результатом исследования стало создание промышленной инфраструктуры посредством формирования кластерных образований в сельскохозяйственном секторе штата. 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Кроме того, в качестве примера можно привести опыт штата Монтана США, где был сформирован инновационный кластер деревообрабатывающей промышленности. Или же технологический и винодельческий кластеры в штате Калифорния США.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Также интересен опыт многочисленных кластеров в Латинской Америке, Африке и Азии в решении проблем занятости. Например, в кластере авто-ремонта в Кумаси (Гана) зарегистрировано более 5000 предприятий с общей численностью работников 40 тыс. человек. Аналогичные кластеры в Кении представляют собой многочисленную совокупность микро-предприятий. Подобные примеры существуют и в других странах.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В то же время с позиции решения проблем занятости интересным является опыт Великобритании по созданию специальных центров рекрутинга, в которых объединены возможности государственных бирж труда, электронных бирж, рекрутинговых компаний и кадровых агентств. Подобные центы позволяют эффективно бороться с безработицей населения. Как правило, они представляют системообразующий элемент кластерной периферии и решают следующие задачи: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обеспечение обмена информацией и налаживание взаимодействия между структурами содействия занятости населения, учебными заведениями профессионального образования и коммерческими структурами;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lastRenderedPageBreak/>
        <w:t>- подбор необходимого персонала, в т.ч. и посредством организации процессов переквалификации кадров;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участие в вопросах трудоустройства иностранной рабочей силы, в т.ч. и высококвалифицированной;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организация работы по аналитике рынка труда в т.ч. и за пределами кластера с целью разработки мероприятий по совершенствованию структуры занятости и уровня квалификации трудовых ресурсов;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координация деятельности различных ведомственных структур, отвечающих за решение вопросов безработицы населения.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В частности, имеется положительный опыт создания центров рекрутинга при градообразующих предприятиях и кластерах добывающей промышленности в Великобритании, где эффективность решения задачи обеспечения производственного процесса необходимыми кадрами, а также решения задачи последующего трудоустройства сокращаемых рабочих находится на высоком уровне.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Таким образом, опыт зарубежных стран иллюстрирует жизнеспособность и высокую эффективность кластерных образований. В частности, развитие кластерных инициатив способствует ускоренному формированию малого и среднего бизнеса, повышению уровня инновационного развития отдельных предприятий и отраслей, стимулированию инициативы на местах и общему развитию взаимоотношений между бизнесом, государством, обществом и научным сообществом. Все это в совокупности положительным образом сказывается на повышении устойчивости и конкурентоспособности национальной экономики, увеличивает темпы ее развития – именно то, что необходимо России на современном этапе ее развития.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lastRenderedPageBreak/>
        <w:t>При этом актуальность применения кластерной политики в России дополнительно обусловливается и рядом других факторов, среди которых: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неприспособленность значительной части промышленного комплекса к рыночным условиям;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экспортно-сырьевая модель экономики, не позволяющая обеспечить ускоренное социально-экономическое развитие;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стремительная девальвация научно-технического потенциала страны в годы реформ;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низкая производительность труда и общая эффективность производственных процессов, не позволяющих в полной мере конкурировать отечественным товаропроизводителям на международном рынке.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Однако естественный процесс кластерообразования в России сдерживается по ряду причин, среди которых: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отсутствие эффективных систем организационно-экономического управления бизнес процессами и исключительная ориентация на внутренний рынок;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слабый уровень развития локальной кооперации, которой не под силу самостоятельная разработка и реализация кластерных инициатив;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неясность экономической ситуации и отсутствие четкого определения долгосрочной стратегии экономического развития территорий;</w:t>
      </w:r>
    </w:p>
    <w:p w:rsidR="00A8493F" w:rsidRPr="000A4528" w:rsidRDefault="00A8493F" w:rsidP="00A849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значительные периоды окупаемости, так как реальные выгоды от формирования кластеров начинают проявляться лишь через 5-10 лет.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 xml:space="preserve">Между тем, несмотря на широкое распространение кластерных образований в мировой практике и их плодотворное влияние на развитие экономики, среди ученых по-прежнему не сформировалось единой позиции о возможности и целесообразности искусственного стимулирования их </w:t>
      </w:r>
      <w:r w:rsidRPr="000A4528">
        <w:rPr>
          <w:rFonts w:ascii="Times New Roman" w:hAnsi="Times New Roman" w:cs="Times New Roman"/>
          <w:sz w:val="28"/>
          <w:szCs w:val="28"/>
        </w:rPr>
        <w:lastRenderedPageBreak/>
        <w:t>развития. Так, широкое распространение получила точка зрения, согласно которой процесс формирования кластера и его последующего развития носит естественный рыночный характер. Поэтому вмешательство государства в данный процесс и применение регуляторных функций может вызывать деструктивные тенденции, ведущие к разрушению интеграционного образования, или снижению его эффективности. В частности, существует масса примеров того, как государство пыталось искусственно стимулировать и развивать кластеры. Как правило, это приводило к значительным затратам общественных ресурсов на протяжении значительного периода времени, а положительной отдачи от данного процесса не наблюдалось. В противоположность этому, как было показано выше, существует и масса других примеров, когда государственное вмешательство приводило к формированию устойчивых и эффективных кластерных структур, образовавших впоследствии точки ускоренного социально-экономического развития.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 xml:space="preserve">Отсюда следует, что конструктивное участие государства в кластерных инициативах возможно и в современных условиях является просто необходимым. Стоит отметить, что само по себе появление предприятий ядра не всегда приводит к формированию вокруг них предприятий периферии. Принципиальным моментом здесь является возникновение кооперативных связей, ориентированных на оптимизацию бизнес-процессов и извлечение общей выгоды. Ведь зачастую отношения между субъектами кластера могут характеризоваться слабой взаимосвязью. Даже несмотря на то, что взаимодействие индивидуальных субъектов в рамках кластерной кооперации генерирует положительные внешние эффекты, плодотворно сказывающиеся на деятельности данных субъектов, сами субъекты практически не заинтересованы в формировании связей с другими локализованными субъектами в силу того, что их личная выгода от данных экстерналий не является очевидной. Подобная информационная асимметрия порождает </w:t>
      </w:r>
      <w:r w:rsidRPr="000A4528">
        <w:rPr>
          <w:rFonts w:ascii="Times New Roman" w:hAnsi="Times New Roman" w:cs="Times New Roman"/>
          <w:sz w:val="28"/>
          <w:szCs w:val="28"/>
        </w:rPr>
        <w:lastRenderedPageBreak/>
        <w:t>высокие трансакционные издержки. И в данной ситуации необходимо участие посредника, способного уменьшить информационную асимметрию, выступить гарантом исполнения обязательств и принять часть рисков на себя.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Важность создания условий, оказывающих плодотворное влияние на межотраслевую интеграцию, обуславливает роль государственного участия в кластерных инициативах. Именно государство может выступить посредником, уменьшающим информационную асимметрию и риски субъектов кластерной кооперации. В свою очередь, это будет способствовать повышению интенсивности взаимодействия между субъектами кластера и более полному использованию возникающих внешних эффектов. Поэтому государство должно участвовать в процессах формирования и развития кластеров, исполняя роль посредника, оказывающего плодотворное влияние на формирование интеграционных связей.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Однако данные условия должны стимулировать именно вертикальную межотраслевую интеграцию, а не способствовать образованию монопольных структур (корпораций, трестов, синдикатов и пр.), не заинтересованных в инновационном развитии и ограничивающих свою деятельность извлечением монопольной ренты. Поэтому государство должно участвовать в создании институциональной среды способствующей формированию и реализации кластерных инициатив. Ключевым моментом здесь является формат данного участия. Так, отсутствие четкой позиции у научного сообщества по поводу необходимости государственного вмешательства в процессы формирования кластеров в экономике привело и к отсутствию четкого определения кластерной политики, ее критериев и инструментария.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 xml:space="preserve">Само по себе образование кластеров в экономике имеет характер эволюционного процесса, в ходе которого предпринимается ряд целенаправленных действий, направленных на постепенное развитие кооперационных связей и преобразование простого интеграционного </w:t>
      </w:r>
      <w:r w:rsidRPr="000A4528">
        <w:rPr>
          <w:rFonts w:ascii="Times New Roman" w:hAnsi="Times New Roman" w:cs="Times New Roman"/>
          <w:sz w:val="28"/>
          <w:szCs w:val="28"/>
        </w:rPr>
        <w:lastRenderedPageBreak/>
        <w:t>объединения в мощную производственную систему. При этом образование кластера происходит на протяжении значительного периода времени, что требует наличия серьезных ресурсов у субъектов кооперации. Поэтому основной критерий государственного участия в кластерных инициативах должен лежать в плоскости не определения масштаба данного участия, а в утверждении наиболее перспективных сфер развития и выбора наиболее эффективных инструментов управления. Основной функцией государственного участия в кластерных инициативах должна являться активная посредническая позиция и устранение провалов рынка, связанных с несовпадение частных и общественных издержек и выгод.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Опираясь на представленные положения, можно заключить, что государственная политика развития кластерных инициатив должна состоять из двух ключевых аспектов:</w:t>
      </w:r>
    </w:p>
    <w:p w:rsidR="00A8493F" w:rsidRPr="000A4528" w:rsidRDefault="00A8493F" w:rsidP="00A849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выработка общих стратегических направлений развития кластеров;</w:t>
      </w:r>
    </w:p>
    <w:p w:rsidR="00A8493F" w:rsidRPr="000A4528" w:rsidRDefault="00A8493F" w:rsidP="00A849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осуществление конкретных кластерных проектов.</w:t>
      </w:r>
    </w:p>
    <w:p w:rsidR="00A8493F" w:rsidRPr="000A4528" w:rsidRDefault="00A8493F" w:rsidP="00A377C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При этом, основными направлениями реализации названных аспектов должны быть:</w:t>
      </w:r>
    </w:p>
    <w:p w:rsidR="00A8493F" w:rsidRPr="000A4528" w:rsidRDefault="00A8493F" w:rsidP="00A377C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популяризация идеи кластерных инициатив, путем проведения различных выставок и форумов, создания производственных площадок и пр.;</w:t>
      </w:r>
    </w:p>
    <w:p w:rsidR="00A8493F" w:rsidRPr="000A4528" w:rsidRDefault="00A8493F" w:rsidP="00A377C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научная поддержка кластерных инициатив, осуществляемая посредством комплексной работы с научными и образовательными учреждениями;</w:t>
      </w:r>
    </w:p>
    <w:p w:rsidR="00A8493F" w:rsidRPr="000A4528" w:rsidRDefault="00A8493F" w:rsidP="00A377C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формирование и развитие хозяйственных агломераций посредством создания институциональных условий для развития производственной инфраструктуры и межотраслевого взаимодействия;</w:t>
      </w:r>
    </w:p>
    <w:p w:rsidR="00A8493F" w:rsidRPr="000A4528" w:rsidRDefault="00A8493F" w:rsidP="00A377C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lastRenderedPageBreak/>
        <w:t>- стимулирование инициативы по кластерной политике на региональном уровне, осуществляемое посредством координации направлений деятельности в данной области с органами власти в субъектах РФ;</w:t>
      </w:r>
    </w:p>
    <w:p w:rsidR="00A8493F" w:rsidRPr="000A4528" w:rsidRDefault="00A8493F" w:rsidP="00A377C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обеспечение инвестиционной поддержки перспективных кластерных инициатив путем прямого финансирования или предоставления гарантий.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 xml:space="preserve">При этом основной целью кластерной политики на федеральном уровне будет являться создание благоприятных условий формирования новых и развития существующих кластерных образований. В то время как целью кластерной политики на региональном уровне должно быть непосредственное участие в реализации конкретных кластерных проектов. </w:t>
      </w:r>
    </w:p>
    <w:p w:rsidR="00A8493F" w:rsidRPr="000A4528" w:rsidRDefault="00A8493F" w:rsidP="00A377C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определение потенциальных направлений формирования кластерных инициатив;</w:t>
      </w:r>
    </w:p>
    <w:p w:rsidR="00A8493F" w:rsidRPr="000A4528" w:rsidRDefault="00A8493F" w:rsidP="00A377C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участие в разработке стратегии формирования кластерных образований;</w:t>
      </w:r>
    </w:p>
    <w:p w:rsidR="00A8493F" w:rsidRPr="000A4528" w:rsidRDefault="00A8493F" w:rsidP="00A377C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непосредственное участие в реализации кластерных инициатив и оценка эффективности их реализации.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Здесь следует более подробно рассмотреть тот момент, что формирование кластерных образований не может целиком и полностью опираться лишь на рыночные механизмы. Понимание данного аспекта можно расширить, проанализировав информацию, представленную в таблице 3.2 – развернутой характеристике форм интеграционных образований и достигаемых в их рамках эффектов. Данное обстоятельство определяет необходимость внесения уточнения в комплекс мероприятий, который государство должно реализовывать в рамках проведения кластерной политики. А именно, государство в обязательном порядке должно осуществлять: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lastRenderedPageBreak/>
        <w:t>- определение базовой отрасли, образующей кластерное ядро;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развитие отраслей периферии, вступающих в кооперацию с отраслью ядра;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разработку и формирование инфраструктурной основы формирования и развития кластера;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разработку и формирование институциональной основы формирования и развития кластера.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Помимо этого, реализация государственной кластерной политики должна опираться на конкретные механизмы и инструменты, позволяющие осуществлять наиболее эффективные (с точки зрения максимизации социально-экономических эффектов) формы производственной интеграции бизнес структур. Между тем опыт стран с развитой экономикой, важную роль в которой играют кластерные образования, демонстрирует отсутствие явной необходимости в создании нового дополнительного инструментария. В частности это связано с тем, что кластерная политика, как правило, не рассматривается в качестве самостоятельного направления государственной политики, а включается в основную государственную или промышленную политику в качестве составного элемента. К примеру, в большинстве стран Европейского союза реализация кластерной политики осуществляется в составе инновационной политики. В то время как инновационная политика в данных странах направлена, в основном, на координацию промышленной, научно-технической, региональной политик и политики поддержки малого предпринимательства. А кластерный элемент выступает лишь в роли агрегирующего механизма инновационной политики. В то же время даже в таком урезанном состоянии кластерная политика прямым образом направлена на кооперацию институтов развития, механизмов поддержки инновационного малого и среднего предпринимательства, технопарков и бизнес-инкубаторов.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lastRenderedPageBreak/>
        <w:t>По своей сути, кластерная политика в большинстве стран с развитой экономикой сводится к осуществлению кластерных инициатив – мероприятий, направленных на формирование кластера. Содержательно кластерные инициативы похожи на глобальные инвестиционные проекты по развитию межотраслевой интеграции. И зачастую понятия «кластерная инициатива» и «кластерный проект» являются тождественными и ориентированы на объединение усилий бизнеса, власти и науки в формировании и развитии кластерного образования. При этом основными целями формирования кластерной инициативы являются: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создание институциональных условий интеграции;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обеспечение производственной кооперации;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развитие инноваций.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Таким образом, становится видно, что формирование кластерных инициатив позволяет обеспечить установление взаимовыгодных отношений, залогом которых являются интеграционные эффекты. В связи с этим представляется, что кластерная политика должна стать неотъемлемой частью национальной инновационной промышленной политики. В тексте законопроекта «О промышленной политике в Российской Федерации» целая статья посвящена вопросам промышленных кластеров. Однако данная статья состоит всего из трех кратких положений определяющих следующие моменты кластерной политики: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для обеспечения поддержки промышленного кластера необходимо создание организации кластера – по сути юридического лица, курирующего кластерное образование;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перечень общих положений о мерах стимулирующего воздействия, регламентируемых законодательством Российской Федерации;</w:t>
      </w:r>
    </w:p>
    <w:p w:rsidR="00A8493F" w:rsidRDefault="00A8493F" w:rsidP="00A377C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lastRenderedPageBreak/>
        <w:t>- необходимость учета стратегий развития субъектов РФ при формировании на их территории промышленных кластеров.</w:t>
      </w:r>
    </w:p>
    <w:p w:rsidR="00A8493F" w:rsidRPr="000A4528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Поэтому представляется важным сформулировать положения, согласно которым неотъемлемой частью национальной инновационной промышленной политики</w:t>
      </w:r>
      <w:r w:rsidR="00A377C9">
        <w:rPr>
          <w:rFonts w:ascii="Times New Roman" w:hAnsi="Times New Roman" w:cs="Times New Roman"/>
          <w:sz w:val="28"/>
          <w:szCs w:val="28"/>
        </w:rPr>
        <w:t>, в т.ч. и в инфраструктурной составляющей станет</w:t>
      </w:r>
      <w:r w:rsidRPr="000A4528">
        <w:rPr>
          <w:rFonts w:ascii="Times New Roman" w:hAnsi="Times New Roman" w:cs="Times New Roman"/>
          <w:sz w:val="28"/>
          <w:szCs w:val="28"/>
        </w:rPr>
        <w:t xml:space="preserve"> кластерный подход к ее реализации. В частности, предлагается внести положения о рабочей группе по кластерным инициативам при Координационном совете при Президенте Российской Федерации по формированию и реализации национальной инновационной промышленной политики</w:t>
      </w:r>
      <w:r w:rsidR="00A377C9">
        <w:rPr>
          <w:rFonts w:ascii="Times New Roman" w:hAnsi="Times New Roman" w:cs="Times New Roman"/>
          <w:sz w:val="28"/>
          <w:szCs w:val="28"/>
        </w:rPr>
        <w:t xml:space="preserve"> по инфраструктурной составляющей</w:t>
      </w:r>
      <w:r w:rsidRPr="000A4528">
        <w:rPr>
          <w:rFonts w:ascii="Times New Roman" w:hAnsi="Times New Roman" w:cs="Times New Roman"/>
          <w:sz w:val="28"/>
          <w:szCs w:val="28"/>
        </w:rPr>
        <w:t>.</w:t>
      </w:r>
    </w:p>
    <w:p w:rsidR="00A8493F" w:rsidRPr="000A4528" w:rsidRDefault="00A8493F" w:rsidP="00A8493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Принципиальная схема реализации кластерной политики при Координационном совете при Президенте Российской Федерации по формированию и реализации национальной инновационной промышленной политики</w:t>
      </w:r>
      <w:r w:rsidR="00A377C9">
        <w:rPr>
          <w:rFonts w:ascii="Times New Roman" w:hAnsi="Times New Roman" w:cs="Times New Roman"/>
          <w:sz w:val="28"/>
          <w:szCs w:val="28"/>
        </w:rPr>
        <w:t xml:space="preserve"> подробно</w:t>
      </w:r>
      <w:r w:rsidRPr="000A4528">
        <w:rPr>
          <w:rFonts w:ascii="Times New Roman" w:hAnsi="Times New Roman" w:cs="Times New Roman"/>
          <w:sz w:val="28"/>
          <w:szCs w:val="28"/>
        </w:rPr>
        <w:t xml:space="preserve"> представлена</w:t>
      </w:r>
      <w:r w:rsidR="00A377C9">
        <w:rPr>
          <w:rFonts w:ascii="Times New Roman" w:hAnsi="Times New Roman" w:cs="Times New Roman"/>
          <w:sz w:val="28"/>
          <w:szCs w:val="28"/>
        </w:rPr>
        <w:t xml:space="preserve"> автором в ряде статей в журналах, рекомендованных для публикации ВАК. Если тезисно остановится на этих вопросах, то</w:t>
      </w:r>
      <w:r w:rsidRPr="000A4528">
        <w:rPr>
          <w:rFonts w:ascii="Times New Roman" w:hAnsi="Times New Roman" w:cs="Times New Roman"/>
          <w:sz w:val="28"/>
          <w:szCs w:val="28"/>
        </w:rPr>
        <w:t>, при экспертном научном совете должна быть сформирована научная группа, координирующая отношения между субъектами кластерной инициативы (обществом, бизнесом, государством и наукой). В задачи данной группы будет входить: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создание институциональных условий интеграции - разработка и формирование институциональной основы формирования и развития кластера;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создание инфраструктурных условий интеграции - разработка и формирование инфраструктурной основы формирования и развития кластера;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обеспечение производственной кооперации – определение базовой отрасли, образующей кластерное ядро, и развитие отраслей периферии, вступающих в кооперацию с отраслью ядра;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lastRenderedPageBreak/>
        <w:t>- развитие инноваций – реализация инновационного подхода в рамках промышленной политики.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Функционирование данной группы должно быть выстроено в рамках комплексного взаимодействия между всеми субъектами кластерной инициативы, и преследовать следующие цели: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повышение эффективности бизнес проектов;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стимулирование развития новых производств;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повышение конкурентоспособности продукции;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развитие инноваций и переход к новому технологическому укладу;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развитие производственной и социальной инфраструктуры;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расширение налогооблагаемой базы;</w:t>
      </w:r>
    </w:p>
    <w:p w:rsidR="00A8493F" w:rsidRPr="000A4528" w:rsidRDefault="00A8493F" w:rsidP="006107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- решение вопросов занятости.</w:t>
      </w:r>
    </w:p>
    <w:p w:rsidR="00A8493F" w:rsidRPr="000A4528" w:rsidRDefault="00A8493F" w:rsidP="00A8493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528">
        <w:rPr>
          <w:rFonts w:ascii="Times New Roman" w:hAnsi="Times New Roman" w:cs="Times New Roman"/>
          <w:sz w:val="28"/>
          <w:szCs w:val="28"/>
        </w:rPr>
        <w:t>В совокупности же реализация представленного положения на практике позволит повысить эффективность национальной инновационной промышленной политики. А вместе с тем будет способствовать формированию хозяйственной среды, основанной на использовании инновационно-интеграционных подходов для обеспечения интенсивного экономического роста. В свою очередь, это является залогом формирования инновационной и конкурентоспособной национальной экономики, необходимой для успешного решения глобальной стратегической задачи – опережающего социально-экономического развития общества.</w:t>
      </w:r>
    </w:p>
    <w:p w:rsidR="00A8493F" w:rsidRPr="009A724B" w:rsidRDefault="00A8493F" w:rsidP="00A8493F">
      <w:pPr>
        <w:pStyle w:val="normal"/>
        <w:ind w:firstLine="709"/>
        <w:rPr>
          <w:szCs w:val="28"/>
        </w:rPr>
      </w:pPr>
      <w:r w:rsidRPr="009A724B">
        <w:rPr>
          <w:szCs w:val="28"/>
        </w:rPr>
        <w:t>В ус</w:t>
      </w:r>
      <w:r>
        <w:rPr>
          <w:szCs w:val="28"/>
        </w:rPr>
        <w:t>ловиях текущего глобального эко</w:t>
      </w:r>
      <w:r w:rsidRPr="009A724B">
        <w:rPr>
          <w:szCs w:val="28"/>
        </w:rPr>
        <w:t>н</w:t>
      </w:r>
      <w:r>
        <w:rPr>
          <w:szCs w:val="28"/>
        </w:rPr>
        <w:t>омического кризиса перед россий</w:t>
      </w:r>
      <w:r w:rsidRPr="009A724B">
        <w:rPr>
          <w:szCs w:val="28"/>
        </w:rPr>
        <w:t>ской</w:t>
      </w:r>
      <w:r>
        <w:rPr>
          <w:szCs w:val="28"/>
        </w:rPr>
        <w:t xml:space="preserve"> экономикой стоит проблема одно</w:t>
      </w:r>
      <w:r w:rsidRPr="009A724B">
        <w:rPr>
          <w:szCs w:val="28"/>
        </w:rPr>
        <w:t xml:space="preserve">временного решения двух серьёзных задач </w:t>
      </w:r>
      <w:r>
        <w:rPr>
          <w:szCs w:val="28"/>
        </w:rPr>
        <w:t>– минимизации последствий кризи</w:t>
      </w:r>
      <w:r w:rsidRPr="009A724B">
        <w:rPr>
          <w:szCs w:val="28"/>
        </w:rPr>
        <w:t>са и ф</w:t>
      </w:r>
      <w:r>
        <w:rPr>
          <w:szCs w:val="28"/>
        </w:rPr>
        <w:t>ормирования потенциала для буду</w:t>
      </w:r>
      <w:r w:rsidRPr="009A724B">
        <w:rPr>
          <w:szCs w:val="28"/>
        </w:rPr>
        <w:t>щего посткризисного развития. Сырьевая ориентация российской экономики показа</w:t>
      </w:r>
      <w:r>
        <w:rPr>
          <w:szCs w:val="28"/>
        </w:rPr>
        <w:t>ла свою несостоятельность в сло</w:t>
      </w:r>
      <w:r w:rsidRPr="009A724B">
        <w:rPr>
          <w:szCs w:val="28"/>
        </w:rPr>
        <w:t xml:space="preserve">жившихся </w:t>
      </w:r>
      <w:r w:rsidRPr="009A724B">
        <w:rPr>
          <w:szCs w:val="28"/>
        </w:rPr>
        <w:lastRenderedPageBreak/>
        <w:t>реалиях. В настоящее время руков</w:t>
      </w:r>
      <w:r>
        <w:rPr>
          <w:szCs w:val="28"/>
        </w:rPr>
        <w:t>одство страны в качестве главно</w:t>
      </w:r>
      <w:r w:rsidRPr="009A724B">
        <w:rPr>
          <w:szCs w:val="28"/>
        </w:rPr>
        <w:t xml:space="preserve">го </w:t>
      </w:r>
      <w:r>
        <w:rPr>
          <w:szCs w:val="28"/>
        </w:rPr>
        <w:t>направления провозгласило модер</w:t>
      </w:r>
      <w:r w:rsidRPr="009A724B">
        <w:rPr>
          <w:szCs w:val="28"/>
        </w:rPr>
        <w:t>низацию и диверсификацию российской экономики. В качестве базовой модели долгосрочного посткризисного развития выбр</w:t>
      </w:r>
      <w:r>
        <w:rPr>
          <w:szCs w:val="28"/>
        </w:rPr>
        <w:t>ана инновационная социально ори</w:t>
      </w:r>
      <w:r w:rsidRPr="009A724B">
        <w:rPr>
          <w:szCs w:val="28"/>
        </w:rPr>
        <w:t>ентированная экономика.</w:t>
      </w:r>
    </w:p>
    <w:p w:rsidR="00A8493F" w:rsidRPr="000A4528" w:rsidRDefault="00A8493F" w:rsidP="00A8493F">
      <w:pPr>
        <w:pStyle w:val="normal"/>
        <w:ind w:firstLine="709"/>
        <w:rPr>
          <w:szCs w:val="28"/>
        </w:rPr>
      </w:pPr>
      <w:r w:rsidRPr="009A724B">
        <w:rPr>
          <w:szCs w:val="28"/>
        </w:rPr>
        <w:t>Экономики современных развитых стран обладают способностью к быстрой раз</w:t>
      </w:r>
      <w:r>
        <w:rPr>
          <w:szCs w:val="28"/>
        </w:rPr>
        <w:t>работке и внедрению технологиче</w:t>
      </w:r>
      <w:r w:rsidRPr="009A724B">
        <w:rPr>
          <w:szCs w:val="28"/>
        </w:rPr>
        <w:t>ских инноваций. Благодаря присущему инновациям свойству самоорганизации они концентрируются и группируются в так называемые «кластеры». Инновации, принадлежащие одному кластеру, при опредёленных условиях могут вызвать син</w:t>
      </w:r>
      <w:r>
        <w:rPr>
          <w:szCs w:val="28"/>
        </w:rPr>
        <w:t>ергетический эффект и существен</w:t>
      </w:r>
      <w:r w:rsidRPr="009A724B">
        <w:rPr>
          <w:szCs w:val="28"/>
        </w:rPr>
        <w:t>но ус</w:t>
      </w:r>
      <w:r>
        <w:rPr>
          <w:szCs w:val="28"/>
        </w:rPr>
        <w:t>илить другой кластер. При дости</w:t>
      </w:r>
      <w:r w:rsidRPr="009A724B">
        <w:rPr>
          <w:szCs w:val="28"/>
        </w:rPr>
        <w:t>жени</w:t>
      </w:r>
      <w:r>
        <w:rPr>
          <w:szCs w:val="28"/>
        </w:rPr>
        <w:t>и «критической массы» взаимодей</w:t>
      </w:r>
      <w:r w:rsidRPr="009A724B">
        <w:rPr>
          <w:szCs w:val="28"/>
        </w:rPr>
        <w:t xml:space="preserve">ствия </w:t>
      </w:r>
      <w:r>
        <w:rPr>
          <w:szCs w:val="28"/>
        </w:rPr>
        <w:t>инноваций внутри кластера проис</w:t>
      </w:r>
      <w:r w:rsidRPr="009A724B">
        <w:rPr>
          <w:szCs w:val="28"/>
        </w:rPr>
        <w:t>ход</w:t>
      </w:r>
      <w:r>
        <w:rPr>
          <w:szCs w:val="28"/>
        </w:rPr>
        <w:t>ит мощный кумулятивный рост эко</w:t>
      </w:r>
      <w:r w:rsidRPr="009A724B">
        <w:rPr>
          <w:szCs w:val="28"/>
        </w:rPr>
        <w:t>номик</w:t>
      </w:r>
      <w:r>
        <w:rPr>
          <w:szCs w:val="28"/>
        </w:rPr>
        <w:t>и. Возникает инновационное собы</w:t>
      </w:r>
      <w:r w:rsidRPr="009A724B">
        <w:rPr>
          <w:szCs w:val="28"/>
        </w:rPr>
        <w:t>тие</w:t>
      </w:r>
      <w:r>
        <w:rPr>
          <w:szCs w:val="28"/>
        </w:rPr>
        <w:t>, которое характеризует</w:t>
      </w:r>
      <w:r w:rsidRPr="009A724B">
        <w:rPr>
          <w:szCs w:val="28"/>
        </w:rPr>
        <w:t>ся поя</w:t>
      </w:r>
      <w:r>
        <w:rPr>
          <w:szCs w:val="28"/>
        </w:rPr>
        <w:t>влением кластера базисных техно</w:t>
      </w:r>
      <w:r w:rsidRPr="009A724B">
        <w:rPr>
          <w:szCs w:val="28"/>
        </w:rPr>
        <w:t>логий, приводит к возникновению новых отрас</w:t>
      </w:r>
      <w:r>
        <w:rPr>
          <w:szCs w:val="28"/>
        </w:rPr>
        <w:t>лей, к запуску длительных эконо</w:t>
      </w:r>
      <w:r w:rsidRPr="009A724B">
        <w:rPr>
          <w:szCs w:val="28"/>
        </w:rPr>
        <w:t>м</w:t>
      </w:r>
      <w:r>
        <w:rPr>
          <w:szCs w:val="28"/>
        </w:rPr>
        <w:t>ических циклов, формируя повыша</w:t>
      </w:r>
      <w:r w:rsidRPr="009A724B">
        <w:rPr>
          <w:szCs w:val="28"/>
        </w:rPr>
        <w:t>тельную стадию кондратьевского цикла. Совокупность кластер</w:t>
      </w:r>
      <w:r>
        <w:rPr>
          <w:szCs w:val="28"/>
        </w:rPr>
        <w:t>ов базисных инно</w:t>
      </w:r>
      <w:r w:rsidRPr="009A724B">
        <w:rPr>
          <w:szCs w:val="28"/>
        </w:rPr>
        <w:t xml:space="preserve">ваций образует технологический уклад. </w:t>
      </w:r>
    </w:p>
    <w:p w:rsidR="00A8493F" w:rsidRDefault="00A8493F" w:rsidP="00A8493F">
      <w:pPr>
        <w:pStyle w:val="normal"/>
        <w:ind w:firstLine="709"/>
        <w:rPr>
          <w:szCs w:val="28"/>
        </w:rPr>
      </w:pPr>
      <w:r w:rsidRPr="009A724B">
        <w:rPr>
          <w:szCs w:val="28"/>
        </w:rPr>
        <w:t>В последнее время частота инновационных событий стремительно нарастает, и в э</w:t>
      </w:r>
      <w:r>
        <w:rPr>
          <w:szCs w:val="28"/>
        </w:rPr>
        <w:t>тот период важно грамотно управ</w:t>
      </w:r>
      <w:r w:rsidRPr="009A724B">
        <w:rPr>
          <w:szCs w:val="28"/>
        </w:rPr>
        <w:t>лят</w:t>
      </w:r>
      <w:r>
        <w:rPr>
          <w:szCs w:val="28"/>
        </w:rPr>
        <w:t>ь инновационным развитием социу</w:t>
      </w:r>
      <w:r w:rsidRPr="009A724B">
        <w:rPr>
          <w:szCs w:val="28"/>
        </w:rPr>
        <w:t>ма, так</w:t>
      </w:r>
      <w:r>
        <w:rPr>
          <w:szCs w:val="28"/>
        </w:rPr>
        <w:t xml:space="preserve"> как люди должны осознать и при</w:t>
      </w:r>
      <w:r w:rsidRPr="009A724B">
        <w:rPr>
          <w:szCs w:val="28"/>
        </w:rPr>
        <w:t>нять и</w:t>
      </w:r>
      <w:r w:rsidR="00C405EA">
        <w:rPr>
          <w:szCs w:val="28"/>
        </w:rPr>
        <w:t>нновационный путь развития промышленного комплекса</w:t>
      </w:r>
      <w:r w:rsidRPr="009A724B">
        <w:rPr>
          <w:szCs w:val="28"/>
        </w:rPr>
        <w:t xml:space="preserve"> России</w:t>
      </w:r>
      <w:r w:rsidR="00C405EA">
        <w:rPr>
          <w:szCs w:val="28"/>
        </w:rPr>
        <w:t>, в т.ч. и по инфраструктурной составляющей</w:t>
      </w:r>
      <w:r w:rsidRPr="009A724B">
        <w:rPr>
          <w:szCs w:val="28"/>
        </w:rPr>
        <w:t>.</w:t>
      </w:r>
    </w:p>
    <w:p w:rsidR="00A8493F" w:rsidRPr="00FE22B5" w:rsidRDefault="00A8493F" w:rsidP="00A8493F">
      <w:pPr>
        <w:pStyle w:val="normal"/>
        <w:ind w:firstLine="709"/>
        <w:rPr>
          <w:szCs w:val="28"/>
        </w:rPr>
      </w:pPr>
      <w:r w:rsidRPr="00FE22B5">
        <w:rPr>
          <w:szCs w:val="28"/>
        </w:rPr>
        <w:t>Для уп</w:t>
      </w:r>
      <w:r>
        <w:rPr>
          <w:szCs w:val="28"/>
        </w:rPr>
        <w:t>равления процессами смены техно</w:t>
      </w:r>
      <w:r w:rsidRPr="00FE22B5">
        <w:rPr>
          <w:szCs w:val="28"/>
        </w:rPr>
        <w:t>логических укладов в ходе разработки целевых</w:t>
      </w:r>
      <w:r>
        <w:rPr>
          <w:szCs w:val="28"/>
        </w:rPr>
        <w:t xml:space="preserve"> </w:t>
      </w:r>
      <w:r w:rsidRPr="00FE22B5">
        <w:rPr>
          <w:szCs w:val="28"/>
        </w:rPr>
        <w:t xml:space="preserve">программ и </w:t>
      </w:r>
      <w:r>
        <w:rPr>
          <w:szCs w:val="28"/>
        </w:rPr>
        <w:t>проектов технического перевоору</w:t>
      </w:r>
      <w:r w:rsidRPr="00FE22B5">
        <w:rPr>
          <w:szCs w:val="28"/>
        </w:rPr>
        <w:t>жения производства необходимо разработать</w:t>
      </w:r>
      <w:r>
        <w:rPr>
          <w:szCs w:val="28"/>
        </w:rPr>
        <w:t xml:space="preserve"> </w:t>
      </w:r>
      <w:r w:rsidRPr="00FE22B5">
        <w:rPr>
          <w:szCs w:val="28"/>
        </w:rPr>
        <w:t>систему управления технологической</w:t>
      </w:r>
      <w:r>
        <w:rPr>
          <w:szCs w:val="28"/>
        </w:rPr>
        <w:t xml:space="preserve"> </w:t>
      </w:r>
      <w:r w:rsidRPr="00FE22B5">
        <w:rPr>
          <w:szCs w:val="28"/>
        </w:rPr>
        <w:t xml:space="preserve">подготовкой производства. </w:t>
      </w:r>
    </w:p>
    <w:p w:rsidR="00A8493F" w:rsidRDefault="00A8493F" w:rsidP="00A8493F">
      <w:pPr>
        <w:pStyle w:val="normal"/>
        <w:ind w:firstLine="709"/>
        <w:rPr>
          <w:szCs w:val="28"/>
        </w:rPr>
      </w:pPr>
      <w:r w:rsidRPr="00FE22B5">
        <w:rPr>
          <w:szCs w:val="28"/>
        </w:rPr>
        <w:t>Механ</w:t>
      </w:r>
      <w:r>
        <w:rPr>
          <w:szCs w:val="28"/>
        </w:rPr>
        <w:t>измом ускорения техничес</w:t>
      </w:r>
      <w:r w:rsidRPr="00FE22B5">
        <w:rPr>
          <w:szCs w:val="28"/>
        </w:rPr>
        <w:t>кого прогресса и инновационной деятельности</w:t>
      </w:r>
      <w:r>
        <w:rPr>
          <w:szCs w:val="28"/>
        </w:rPr>
        <w:t xml:space="preserve"> </w:t>
      </w:r>
      <w:r w:rsidRPr="00FE22B5">
        <w:rPr>
          <w:szCs w:val="28"/>
        </w:rPr>
        <w:t xml:space="preserve">является система </w:t>
      </w:r>
      <w:r>
        <w:rPr>
          <w:szCs w:val="28"/>
        </w:rPr>
        <w:t>технической подготовки про</w:t>
      </w:r>
      <w:r w:rsidRPr="00FE22B5">
        <w:rPr>
          <w:szCs w:val="28"/>
        </w:rPr>
        <w:t xml:space="preserve">изводства, </w:t>
      </w:r>
      <w:r>
        <w:rPr>
          <w:szCs w:val="28"/>
        </w:rPr>
        <w:t>реализующая непосредственно дос</w:t>
      </w:r>
      <w:r w:rsidRPr="00FE22B5">
        <w:rPr>
          <w:szCs w:val="28"/>
        </w:rPr>
        <w:t>тижения науки и техники в производственных</w:t>
      </w:r>
      <w:r>
        <w:rPr>
          <w:szCs w:val="28"/>
        </w:rPr>
        <w:t xml:space="preserve"> </w:t>
      </w:r>
      <w:r w:rsidRPr="00FE22B5">
        <w:rPr>
          <w:szCs w:val="28"/>
        </w:rPr>
        <w:t>условиях.</w:t>
      </w:r>
    </w:p>
    <w:p w:rsidR="00A8493F" w:rsidRDefault="00C405EA" w:rsidP="00A8493F">
      <w:pPr>
        <w:pStyle w:val="normal"/>
        <w:ind w:firstLine="709"/>
        <w:rPr>
          <w:szCs w:val="28"/>
        </w:rPr>
      </w:pPr>
      <w:r>
        <w:rPr>
          <w:szCs w:val="28"/>
        </w:rPr>
        <w:lastRenderedPageBreak/>
        <w:t>Э</w:t>
      </w:r>
      <w:r w:rsidR="00A8493F" w:rsidRPr="00FE22B5">
        <w:rPr>
          <w:szCs w:val="28"/>
        </w:rPr>
        <w:t>кономика страны, равно как и система т</w:t>
      </w:r>
      <w:r w:rsidR="00A8493F">
        <w:rPr>
          <w:szCs w:val="28"/>
        </w:rPr>
        <w:t>ехнологической подготовки</w:t>
      </w:r>
      <w:r>
        <w:rPr>
          <w:szCs w:val="28"/>
        </w:rPr>
        <w:t xml:space="preserve"> промышленного</w:t>
      </w:r>
      <w:r w:rsidR="00A8493F">
        <w:rPr>
          <w:szCs w:val="28"/>
        </w:rPr>
        <w:t xml:space="preserve"> произ</w:t>
      </w:r>
      <w:r w:rsidR="00A8493F" w:rsidRPr="00FE22B5">
        <w:rPr>
          <w:szCs w:val="28"/>
        </w:rPr>
        <w:t>водства, которая является основой, стержнем</w:t>
      </w:r>
      <w:r w:rsidR="00A8493F">
        <w:rPr>
          <w:szCs w:val="28"/>
        </w:rPr>
        <w:t xml:space="preserve"> </w:t>
      </w:r>
      <w:r w:rsidR="00A8493F" w:rsidRPr="00FE22B5">
        <w:rPr>
          <w:szCs w:val="28"/>
        </w:rPr>
        <w:t>инновацион</w:t>
      </w:r>
      <w:r w:rsidR="00A8493F">
        <w:rPr>
          <w:szCs w:val="28"/>
        </w:rPr>
        <w:t>ной деятельности, должны состав</w:t>
      </w:r>
      <w:r w:rsidR="00A8493F" w:rsidRPr="00FE22B5">
        <w:rPr>
          <w:szCs w:val="28"/>
        </w:rPr>
        <w:t>лять единый</w:t>
      </w:r>
      <w:r w:rsidR="00A8493F">
        <w:rPr>
          <w:szCs w:val="28"/>
        </w:rPr>
        <w:t xml:space="preserve"> комплекс, охватывающий все зве</w:t>
      </w:r>
      <w:r w:rsidR="00A8493F" w:rsidRPr="00FE22B5">
        <w:rPr>
          <w:szCs w:val="28"/>
        </w:rPr>
        <w:t>нья производства. Управление этим единым</w:t>
      </w:r>
      <w:r w:rsidR="00A8493F">
        <w:rPr>
          <w:szCs w:val="28"/>
        </w:rPr>
        <w:t xml:space="preserve"> </w:t>
      </w:r>
      <w:r w:rsidR="00A8493F" w:rsidRPr="00FE22B5">
        <w:rPr>
          <w:szCs w:val="28"/>
        </w:rPr>
        <w:t>комплексом</w:t>
      </w:r>
      <w:r w:rsidR="00A8493F">
        <w:rPr>
          <w:szCs w:val="28"/>
        </w:rPr>
        <w:t xml:space="preserve"> должно осуществляться с исполь</w:t>
      </w:r>
      <w:r w:rsidR="00A8493F" w:rsidRPr="00FE22B5">
        <w:rPr>
          <w:szCs w:val="28"/>
        </w:rPr>
        <w:t>зованием моделирования технол</w:t>
      </w:r>
      <w:r w:rsidR="00A8493F">
        <w:rPr>
          <w:szCs w:val="28"/>
        </w:rPr>
        <w:t>оги</w:t>
      </w:r>
      <w:r w:rsidR="00A8493F" w:rsidRPr="00FE22B5">
        <w:rPr>
          <w:szCs w:val="28"/>
        </w:rPr>
        <w:t>ческой по</w:t>
      </w:r>
      <w:r w:rsidR="00A8493F">
        <w:rPr>
          <w:szCs w:val="28"/>
        </w:rPr>
        <w:t>дготовки промышленного производ</w:t>
      </w:r>
      <w:r w:rsidR="00A8493F" w:rsidRPr="00FE22B5">
        <w:rPr>
          <w:szCs w:val="28"/>
        </w:rPr>
        <w:t>ства: от уч</w:t>
      </w:r>
      <w:r w:rsidR="00A8493F">
        <w:rPr>
          <w:szCs w:val="28"/>
        </w:rPr>
        <w:t>реждений государственного управ</w:t>
      </w:r>
      <w:r w:rsidR="00A8493F" w:rsidRPr="00FE22B5">
        <w:rPr>
          <w:szCs w:val="28"/>
        </w:rPr>
        <w:t>ления – до систем управления предприятиями, организациями и их объединениями.</w:t>
      </w:r>
    </w:p>
    <w:p w:rsidR="00A8493F" w:rsidRDefault="00A8493F" w:rsidP="00A8493F">
      <w:pPr>
        <w:pStyle w:val="normal"/>
        <w:ind w:firstLine="709"/>
        <w:rPr>
          <w:szCs w:val="28"/>
        </w:rPr>
      </w:pPr>
      <w:r w:rsidRPr="00FE22B5">
        <w:rPr>
          <w:szCs w:val="28"/>
        </w:rPr>
        <w:t>Министе</w:t>
      </w:r>
      <w:r>
        <w:rPr>
          <w:szCs w:val="28"/>
        </w:rPr>
        <w:t>рства и ведомства РФ, их органи</w:t>
      </w:r>
      <w:r w:rsidRPr="00FE22B5">
        <w:rPr>
          <w:szCs w:val="28"/>
        </w:rPr>
        <w:t>зации, предприятия и учреждения позволяют</w:t>
      </w:r>
      <w:r>
        <w:rPr>
          <w:szCs w:val="28"/>
        </w:rPr>
        <w:t xml:space="preserve"> </w:t>
      </w:r>
      <w:r w:rsidRPr="00FE22B5">
        <w:rPr>
          <w:szCs w:val="28"/>
        </w:rPr>
        <w:t>определить</w:t>
      </w:r>
      <w:r>
        <w:rPr>
          <w:szCs w:val="28"/>
        </w:rPr>
        <w:t xml:space="preserve"> внешнюю среду, влияющую на тех</w:t>
      </w:r>
      <w:r w:rsidRPr="00FE22B5">
        <w:rPr>
          <w:szCs w:val="28"/>
        </w:rPr>
        <w:t>ническое р</w:t>
      </w:r>
      <w:r w:rsidR="00A377C9">
        <w:rPr>
          <w:szCs w:val="28"/>
        </w:rPr>
        <w:t>азвитие промышленного комплекса</w:t>
      </w:r>
      <w:r w:rsidRPr="00FE22B5">
        <w:rPr>
          <w:szCs w:val="28"/>
        </w:rPr>
        <w:t>.</w:t>
      </w:r>
    </w:p>
    <w:p w:rsidR="00A377C9" w:rsidRDefault="00A8493F" w:rsidP="00A377C9">
      <w:pPr>
        <w:pStyle w:val="normal"/>
        <w:ind w:firstLine="709"/>
        <w:rPr>
          <w:szCs w:val="28"/>
        </w:rPr>
      </w:pPr>
      <w:r w:rsidRPr="00FE22B5">
        <w:rPr>
          <w:szCs w:val="28"/>
        </w:rPr>
        <w:t>След</w:t>
      </w:r>
      <w:r>
        <w:rPr>
          <w:szCs w:val="28"/>
        </w:rPr>
        <w:t xml:space="preserve">ующим уровнем системы управления </w:t>
      </w:r>
      <w:r w:rsidRPr="00FE22B5">
        <w:rPr>
          <w:szCs w:val="28"/>
        </w:rPr>
        <w:t>являются о</w:t>
      </w:r>
      <w:r>
        <w:rPr>
          <w:szCs w:val="28"/>
        </w:rPr>
        <w:t>бъединения предприятий. Для фор</w:t>
      </w:r>
      <w:r w:rsidRPr="00FE22B5">
        <w:rPr>
          <w:szCs w:val="28"/>
        </w:rPr>
        <w:t>мирования с</w:t>
      </w:r>
      <w:r w:rsidR="00A377C9">
        <w:rPr>
          <w:szCs w:val="28"/>
        </w:rPr>
        <w:t xml:space="preserve">истем управления </w:t>
      </w:r>
      <w:r>
        <w:rPr>
          <w:szCs w:val="28"/>
        </w:rPr>
        <w:t>техноло</w:t>
      </w:r>
      <w:r w:rsidRPr="00FE22B5">
        <w:rPr>
          <w:szCs w:val="28"/>
        </w:rPr>
        <w:t>гической подготовкой п</w:t>
      </w:r>
      <w:r>
        <w:rPr>
          <w:szCs w:val="28"/>
        </w:rPr>
        <w:t>роизводства</w:t>
      </w:r>
      <w:r w:rsidRPr="00FE22B5">
        <w:rPr>
          <w:szCs w:val="28"/>
        </w:rPr>
        <w:t xml:space="preserve"> на этом уровне управления необходимо выделить орган</w:t>
      </w:r>
      <w:r>
        <w:rPr>
          <w:szCs w:val="28"/>
        </w:rPr>
        <w:t>изации</w:t>
      </w:r>
      <w:r w:rsidR="00A377C9">
        <w:rPr>
          <w:szCs w:val="28"/>
        </w:rPr>
        <w:t xml:space="preserve"> производственной</w:t>
      </w:r>
      <w:r>
        <w:rPr>
          <w:szCs w:val="28"/>
        </w:rPr>
        <w:t xml:space="preserve"> инфраструктуры, обеспечи</w:t>
      </w:r>
      <w:r w:rsidRPr="00FE22B5">
        <w:rPr>
          <w:szCs w:val="28"/>
        </w:rPr>
        <w:t>вающие ор</w:t>
      </w:r>
      <w:r>
        <w:rPr>
          <w:szCs w:val="28"/>
        </w:rPr>
        <w:t>ганизацию инновационной деятель</w:t>
      </w:r>
      <w:r w:rsidR="00A377C9">
        <w:rPr>
          <w:szCs w:val="28"/>
        </w:rPr>
        <w:t xml:space="preserve">ности, в т.ч. </w:t>
      </w:r>
      <w:r w:rsidRPr="00FE22B5">
        <w:rPr>
          <w:szCs w:val="28"/>
        </w:rPr>
        <w:t>спе</w:t>
      </w:r>
      <w:r>
        <w:rPr>
          <w:szCs w:val="28"/>
        </w:rPr>
        <w:t>циализированные организации под</w:t>
      </w:r>
      <w:r w:rsidRPr="00FE22B5">
        <w:rPr>
          <w:szCs w:val="28"/>
        </w:rPr>
        <w:t>держк</w:t>
      </w:r>
      <w:r w:rsidR="00A377C9">
        <w:rPr>
          <w:szCs w:val="28"/>
        </w:rPr>
        <w:t>и и обслуживания предприятий промышленного комплекса</w:t>
      </w:r>
      <w:r w:rsidRPr="00FE22B5">
        <w:rPr>
          <w:szCs w:val="28"/>
        </w:rPr>
        <w:t>, выполняющ</w:t>
      </w:r>
      <w:r>
        <w:rPr>
          <w:szCs w:val="28"/>
        </w:rPr>
        <w:t xml:space="preserve">ие такие функции, как </w:t>
      </w:r>
      <w:r w:rsidR="00A377C9">
        <w:rPr>
          <w:szCs w:val="28"/>
        </w:rPr>
        <w:t>логистика, ремонт оборудования, зданий и помещений, инструментальное и</w:t>
      </w:r>
      <w:r>
        <w:rPr>
          <w:szCs w:val="28"/>
        </w:rPr>
        <w:t>информаци</w:t>
      </w:r>
      <w:r w:rsidRPr="00FE22B5">
        <w:rPr>
          <w:szCs w:val="28"/>
        </w:rPr>
        <w:t>онное обесп</w:t>
      </w:r>
      <w:r>
        <w:rPr>
          <w:szCs w:val="28"/>
        </w:rPr>
        <w:t>ечение,</w:t>
      </w:r>
      <w:r w:rsidR="00A377C9">
        <w:rPr>
          <w:szCs w:val="28"/>
        </w:rPr>
        <w:t xml:space="preserve"> иные вспомогательные услуги.</w:t>
      </w:r>
    </w:p>
    <w:p w:rsidR="00A8493F" w:rsidRPr="001F2695" w:rsidRDefault="00A377C9" w:rsidP="00A8493F">
      <w:pPr>
        <w:pStyle w:val="normal"/>
        <w:ind w:firstLine="709"/>
        <w:rPr>
          <w:szCs w:val="28"/>
        </w:rPr>
      </w:pPr>
      <w:r>
        <w:rPr>
          <w:szCs w:val="28"/>
        </w:rPr>
        <w:t>Представленные рекомендации, по мнению автора позволят промышленному комплексу Российской Федерации стать значительно более конкурентоспособным на мировой арене</w:t>
      </w:r>
      <w:r w:rsidR="00A8493F" w:rsidRPr="004A524E">
        <w:rPr>
          <w:szCs w:val="28"/>
        </w:rPr>
        <w:t>.</w:t>
      </w:r>
    </w:p>
    <w:sectPr w:rsidR="00A8493F" w:rsidRPr="001F2695" w:rsidSect="0061077C">
      <w:headerReference w:type="default" r:id="rId11"/>
      <w:pgSz w:w="11906" w:h="16838"/>
      <w:pgMar w:top="1134" w:right="850" w:bottom="1134" w:left="1701" w:header="708" w:footer="708" w:gutter="0"/>
      <w:pgNumType w:start="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7DC" w:rsidRDefault="00DB77DC" w:rsidP="00A8493F">
      <w:pPr>
        <w:spacing w:after="0" w:line="240" w:lineRule="auto"/>
      </w:pPr>
      <w:r>
        <w:separator/>
      </w:r>
    </w:p>
  </w:endnote>
  <w:endnote w:type="continuationSeparator" w:id="1">
    <w:p w:rsidR="00DB77DC" w:rsidRDefault="00DB77DC" w:rsidP="00A8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7DC" w:rsidRDefault="00DB77DC" w:rsidP="00A8493F">
      <w:pPr>
        <w:spacing w:after="0" w:line="240" w:lineRule="auto"/>
      </w:pPr>
      <w:r>
        <w:separator/>
      </w:r>
    </w:p>
  </w:footnote>
  <w:footnote w:type="continuationSeparator" w:id="1">
    <w:p w:rsidR="00DB77DC" w:rsidRDefault="00DB77DC" w:rsidP="00A84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4831"/>
      <w:docPartObj>
        <w:docPartGallery w:val="Page Numbers (Top of Page)"/>
        <w:docPartUnique/>
      </w:docPartObj>
    </w:sdtPr>
    <w:sdtContent>
      <w:p w:rsidR="00A377C9" w:rsidRDefault="00A377C9">
        <w:pPr>
          <w:pStyle w:val="ae"/>
          <w:jc w:val="center"/>
        </w:pPr>
        <w:fldSimple w:instr=" PAGE   \* MERGEFORMAT ">
          <w:r w:rsidR="00C405EA">
            <w:rPr>
              <w:noProof/>
            </w:rPr>
            <w:t>143</w:t>
          </w:r>
        </w:fldSimple>
      </w:p>
    </w:sdtContent>
  </w:sdt>
  <w:p w:rsidR="00A377C9" w:rsidRDefault="00A377C9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F2695"/>
    <w:rsid w:val="00163E0A"/>
    <w:rsid w:val="001F2695"/>
    <w:rsid w:val="00256C99"/>
    <w:rsid w:val="00285907"/>
    <w:rsid w:val="002C4D4A"/>
    <w:rsid w:val="0034199B"/>
    <w:rsid w:val="003F5237"/>
    <w:rsid w:val="005215BD"/>
    <w:rsid w:val="0061077C"/>
    <w:rsid w:val="00686259"/>
    <w:rsid w:val="00686EDB"/>
    <w:rsid w:val="006F5744"/>
    <w:rsid w:val="0082401E"/>
    <w:rsid w:val="008303BB"/>
    <w:rsid w:val="00853639"/>
    <w:rsid w:val="00875673"/>
    <w:rsid w:val="009F6730"/>
    <w:rsid w:val="00A124EB"/>
    <w:rsid w:val="00A377C9"/>
    <w:rsid w:val="00A8493F"/>
    <w:rsid w:val="00AA688F"/>
    <w:rsid w:val="00B03472"/>
    <w:rsid w:val="00B55C1C"/>
    <w:rsid w:val="00C405EA"/>
    <w:rsid w:val="00DB77DC"/>
    <w:rsid w:val="00DE6901"/>
    <w:rsid w:val="00E85E31"/>
    <w:rsid w:val="00F76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472"/>
  </w:style>
  <w:style w:type="paragraph" w:styleId="2">
    <w:name w:val="heading 2"/>
    <w:basedOn w:val="a"/>
    <w:link w:val="20"/>
    <w:qFormat/>
    <w:rsid w:val="001F26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F2695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20">
    <w:name w:val="Заголовок 2 Знак"/>
    <w:basedOn w:val="a0"/>
    <w:link w:val="2"/>
    <w:rsid w:val="001F269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rsid w:val="001F2695"/>
    <w:rPr>
      <w:color w:val="0000FF"/>
      <w:u w:val="single"/>
    </w:rPr>
  </w:style>
  <w:style w:type="paragraph" w:styleId="a4">
    <w:name w:val="Normal (Web)"/>
    <w:basedOn w:val="a"/>
    <w:rsid w:val="001F2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basedOn w:val="a0"/>
    <w:rsid w:val="001F2695"/>
    <w:rPr>
      <w:i/>
      <w:iCs/>
    </w:rPr>
  </w:style>
  <w:style w:type="character" w:customStyle="1" w:styleId="w">
    <w:name w:val="w"/>
    <w:basedOn w:val="a0"/>
    <w:rsid w:val="001F2695"/>
  </w:style>
  <w:style w:type="character" w:styleId="a5">
    <w:name w:val="Emphasis"/>
    <w:basedOn w:val="a0"/>
    <w:qFormat/>
    <w:rsid w:val="001F2695"/>
    <w:rPr>
      <w:i/>
      <w:iCs/>
    </w:rPr>
  </w:style>
  <w:style w:type="character" w:customStyle="1" w:styleId="st">
    <w:name w:val="st"/>
    <w:basedOn w:val="a0"/>
    <w:rsid w:val="001F2695"/>
  </w:style>
  <w:style w:type="paragraph" w:styleId="a6">
    <w:name w:val="Balloon Text"/>
    <w:basedOn w:val="a"/>
    <w:link w:val="a7"/>
    <w:rsid w:val="001F269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F2695"/>
    <w:rPr>
      <w:rFonts w:ascii="Tahoma" w:eastAsia="Times New Roman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1F2695"/>
    <w:rPr>
      <w:color w:val="808080"/>
    </w:rPr>
  </w:style>
  <w:style w:type="paragraph" w:styleId="a9">
    <w:name w:val="List Paragraph"/>
    <w:basedOn w:val="a"/>
    <w:uiPriority w:val="34"/>
    <w:qFormat/>
    <w:rsid w:val="001F26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rsid w:val="001F2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F2695"/>
  </w:style>
  <w:style w:type="paragraph" w:styleId="ab">
    <w:name w:val="footnote text"/>
    <w:basedOn w:val="a"/>
    <w:link w:val="ac"/>
    <w:uiPriority w:val="99"/>
    <w:unhideWhenUsed/>
    <w:rsid w:val="001F2695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1F2695"/>
    <w:rPr>
      <w:rFonts w:ascii="Times New Roman" w:eastAsia="Calibri" w:hAnsi="Times New Roman" w:cs="Times New Roman"/>
      <w:sz w:val="20"/>
      <w:szCs w:val="20"/>
      <w:lang w:eastAsia="en-US"/>
    </w:rPr>
  </w:style>
  <w:style w:type="character" w:styleId="ad">
    <w:name w:val="footnote reference"/>
    <w:uiPriority w:val="99"/>
    <w:unhideWhenUsed/>
    <w:rsid w:val="001F269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A84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8493F"/>
  </w:style>
  <w:style w:type="paragraph" w:styleId="af0">
    <w:name w:val="footer"/>
    <w:basedOn w:val="a"/>
    <w:link w:val="af1"/>
    <w:uiPriority w:val="99"/>
    <w:semiHidden/>
    <w:unhideWhenUsed/>
    <w:rsid w:val="00A84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849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Vladimir\Google%20&#1044;&#1080;&#1089;&#1082;\&#1044;&#1080;&#1089;&#1089;&#1077;&#1088;&#1090;&#1072;&#1094;&#1080;&#1080;\3.1.%20&#1057;&#1094;&#1077;&#1085;&#1072;&#1088;&#1080;&#1080;%20&#1088;&#1072;&#1079;&#1074;&#1080;&#1090;&#1080;&#1103;%20&#1080;&#1089;&#1087;&#1086;&#1083;&#1100;&#1079;&#1086;&#1074;&#1072;&#1085;&#1080;&#1103;%20&#1080;&#1085;&#1092;&#1088;&#1072;&#1089;&#1090;&#1088;&#1091;&#1082;&#1090;&#1091;&#1088;&#1085;&#1099;&#1093;%20&#1088;&#1077;&#1089;&#1091;&#1088;&#1089;&#1086;&#1074;%20&#1074;%20&#1082;&#1088;&#1072;&#1090;&#1082;&#1086;-%20&#1080;%20&#1089;&#1088;&#1077;&#1076;&#1085;&#1077;&#1089;&#1088;&#1086;&#1095;&#1085;&#1086;&#1081;%20&#1087;&#1077;&#1088;&#1089;&#1087;&#1077;&#1082;&#1090;&#1080;&#1074;&#1099;%20&#1074;%20&#1088;&#1072;&#1084;&#1082;&#1072;&#1093;%20&#1088;&#1072;&#1079;&#1074;&#1080;&#1090;&#1080;&#1103;%20VI%20&#1090;&#1077;&#1093;&#1085;&#1086;&#1083;&#1086;&#1075;&#1080;&#1095;&#1077;&#1089;&#1082;&#1086;&#1075;&#1086;%20&#1091;&#1082;&#1083;&#1072;&#1076;&#1072;\&#1088;&#1072;&#1089;&#1095;&#1077;&#1090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Vladimir\Google%20&#1044;&#1080;&#1089;&#1082;\&#1044;&#1080;&#1089;&#1089;&#1077;&#1088;&#1090;&#1072;&#1094;&#1080;&#1080;\3.1.%20&#1057;&#1094;&#1077;&#1085;&#1072;&#1088;&#1080;&#1080;%20&#1088;&#1072;&#1079;&#1074;&#1080;&#1090;&#1080;&#1103;%20&#1080;&#1089;&#1087;&#1086;&#1083;&#1100;&#1079;&#1086;&#1074;&#1072;&#1085;&#1080;&#1103;%20&#1080;&#1085;&#1092;&#1088;&#1072;&#1089;&#1090;&#1088;&#1091;&#1082;&#1090;&#1091;&#1088;&#1085;&#1099;&#1093;%20&#1088;&#1077;&#1089;&#1091;&#1088;&#1089;&#1086;&#1074;%20&#1074;%20&#1082;&#1088;&#1072;&#1090;&#1082;&#1086;-%20&#1080;%20&#1089;&#1088;&#1077;&#1076;&#1085;&#1077;&#1089;&#1088;&#1086;&#1095;&#1085;&#1086;&#1081;%20&#1087;&#1077;&#1088;&#1089;&#1087;&#1077;&#1082;&#1090;&#1080;&#1074;&#1099;%20&#1074;%20&#1088;&#1072;&#1084;&#1082;&#1072;&#1093;%20&#1088;&#1072;&#1079;&#1074;&#1080;&#1090;&#1080;&#1103;%20VI%20&#1090;&#1077;&#1093;&#1085;&#1086;&#1083;&#1086;&#1075;&#1080;&#1095;&#1077;&#1089;&#1082;&#1086;&#1075;&#1086;%20&#1091;&#1082;&#1083;&#1072;&#1076;&#1072;\&#1088;&#1072;&#1089;&#1095;&#1077;&#1090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F:\Vladimir\Google%20&#1044;&#1080;&#1089;&#1082;\&#1044;&#1080;&#1089;&#1089;&#1077;&#1088;&#1090;&#1072;&#1094;&#1080;&#1080;\3.1.%20&#1057;&#1094;&#1077;&#1085;&#1072;&#1088;&#1080;&#1080;%20&#1088;&#1072;&#1079;&#1074;&#1080;&#1090;&#1080;&#1103;%20&#1080;&#1089;&#1087;&#1086;&#1083;&#1100;&#1079;&#1086;&#1074;&#1072;&#1085;&#1080;&#1103;%20&#1080;&#1085;&#1092;&#1088;&#1072;&#1089;&#1090;&#1088;&#1091;&#1082;&#1090;&#1091;&#1088;&#1085;&#1099;&#1093;%20&#1088;&#1077;&#1089;&#1091;&#1088;&#1089;&#1086;&#1074;%20&#1074;%20&#1082;&#1088;&#1072;&#1090;&#1082;&#1086;-%20&#1080;%20&#1089;&#1088;&#1077;&#1076;&#1085;&#1077;&#1089;&#1088;&#1086;&#1095;&#1085;&#1086;&#1081;%20&#1087;&#1077;&#1088;&#1089;&#1087;&#1077;&#1082;&#1090;&#1080;&#1074;&#1099;%20&#1074;%20&#1088;&#1072;&#1084;&#1082;&#1072;&#1093;%20&#1088;&#1072;&#1079;&#1074;&#1080;&#1090;&#1080;&#1103;%20VI%20&#1090;&#1077;&#1093;&#1085;&#1086;&#1083;&#1086;&#1075;&#1080;&#1095;&#1077;&#1089;&#1082;&#1086;&#1075;&#1086;%20&#1091;&#1082;&#1083;&#1072;&#1076;&#1072;\&#1088;&#1072;&#1089;&#1095;&#1077;&#1090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F:\Vladimir\Google%20&#1044;&#1080;&#1089;&#1082;\&#1044;&#1080;&#1089;&#1089;&#1077;&#1088;&#1090;&#1072;&#1094;&#1080;&#1080;\3.1.%20&#1057;&#1094;&#1077;&#1085;&#1072;&#1088;&#1080;&#1080;%20&#1088;&#1072;&#1079;&#1074;&#1080;&#1090;&#1080;&#1103;%20&#1080;&#1089;&#1087;&#1086;&#1083;&#1100;&#1079;&#1086;&#1074;&#1072;&#1085;&#1080;&#1103;%20&#1080;&#1085;&#1092;&#1088;&#1072;&#1089;&#1090;&#1088;&#1091;&#1082;&#1090;&#1091;&#1088;&#1085;&#1099;&#1093;%20&#1088;&#1077;&#1089;&#1091;&#1088;&#1089;&#1086;&#1074;%20&#1074;%20&#1082;&#1088;&#1072;&#1090;&#1082;&#1086;-%20&#1080;%20&#1089;&#1088;&#1077;&#1076;&#1085;&#1077;&#1089;&#1088;&#1086;&#1095;&#1085;&#1086;&#1081;%20&#1087;&#1077;&#1088;&#1089;&#1087;&#1077;&#1082;&#1090;&#1080;&#1074;&#1099;%20&#1074;%20&#1088;&#1072;&#1084;&#1082;&#1072;&#1093;%20&#1088;&#1072;&#1079;&#1074;&#1080;&#1090;&#1080;&#1103;%20VI%20&#1090;&#1077;&#1093;&#1085;&#1086;&#1083;&#1086;&#1075;&#1080;&#1095;&#1077;&#1089;&#1082;&#1086;&#1075;&#1086;%20&#1091;&#1082;&#1083;&#1072;&#1076;&#1072;\&#1088;&#1072;&#1089;&#1095;&#1077;&#1090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/>
            </a:pPr>
            <a:r>
              <a:rPr lang="ru-RU" sz="1200"/>
              <a:t>Уровень использования среднегодовой производственной мощности</a:t>
            </a:r>
          </a:p>
        </c:rich>
      </c:tx>
      <c:layout>
        <c:manualLayout>
          <c:xMode val="edge"/>
          <c:yMode val="edge"/>
          <c:x val="0.12307789774275298"/>
          <c:y val="2.676523101822720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7.432166230619279E-2"/>
          <c:y val="0.12253910887556771"/>
          <c:w val="0.77000653583428269"/>
          <c:h val="0.78171500489586299"/>
        </c:manualLayout>
      </c:layout>
      <c:lineChart>
        <c:grouping val="standard"/>
        <c:ser>
          <c:idx val="0"/>
          <c:order val="0"/>
          <c:tx>
            <c:strRef>
              <c:f>Лист1!$A$3</c:f>
              <c:strCache>
                <c:ptCount val="1"/>
                <c:pt idx="0">
                  <c:v>Добыча полезных ископаемых</c:v>
                </c:pt>
              </c:strCache>
            </c:strRef>
          </c:tx>
          <c:spPr>
            <a:ln w="38100" cmpd="sng">
              <a:solidFill>
                <a:srgbClr val="436EA1"/>
              </a:solidFill>
            </a:ln>
          </c:spPr>
          <c:marker>
            <c:symbol val="none"/>
          </c:marker>
          <c:trendline>
            <c:name>Экстраполяционная функция</c:name>
            <c:spPr>
              <a:ln w="31750"/>
            </c:spPr>
            <c:trendlineType val="poly"/>
            <c:order val="3"/>
            <c:forward val="6"/>
            <c:intercept val="70.7"/>
          </c:trendline>
          <c:cat>
            <c:numRef>
              <c:f>Лист1!$U$53:$AN$53</c:f>
              <c:numCache>
                <c:formatCode>General</c:formatCode>
                <c:ptCount val="20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  <c:pt idx="16">
                  <c:v>2017</c:v>
                </c:pt>
                <c:pt idx="17">
                  <c:v>2018</c:v>
                </c:pt>
                <c:pt idx="18">
                  <c:v>2019</c:v>
                </c:pt>
                <c:pt idx="19">
                  <c:v>2020</c:v>
                </c:pt>
              </c:numCache>
            </c:numRef>
          </c:cat>
          <c:val>
            <c:numRef>
              <c:f>Лист1!$U$54:$AH$54</c:f>
              <c:numCache>
                <c:formatCode>0.0</c:formatCode>
                <c:ptCount val="14"/>
                <c:pt idx="0">
                  <c:v>70.333333333333258</c:v>
                </c:pt>
                <c:pt idx="1">
                  <c:v>72.333333333333258</c:v>
                </c:pt>
                <c:pt idx="2">
                  <c:v>69</c:v>
                </c:pt>
                <c:pt idx="3">
                  <c:v>73</c:v>
                </c:pt>
                <c:pt idx="4">
                  <c:v>76</c:v>
                </c:pt>
                <c:pt idx="5">
                  <c:v>76.333333333333258</c:v>
                </c:pt>
                <c:pt idx="6">
                  <c:v>72</c:v>
                </c:pt>
                <c:pt idx="7">
                  <c:v>76</c:v>
                </c:pt>
                <c:pt idx="8">
                  <c:v>72.666666666666671</c:v>
                </c:pt>
                <c:pt idx="9">
                  <c:v>63.333333333333336</c:v>
                </c:pt>
                <c:pt idx="10">
                  <c:v>66</c:v>
                </c:pt>
                <c:pt idx="11">
                  <c:v>68.333333333333258</c:v>
                </c:pt>
                <c:pt idx="12">
                  <c:v>73.666666666666671</c:v>
                </c:pt>
                <c:pt idx="13">
                  <c:v>68.333333333333258</c:v>
                </c:pt>
              </c:numCache>
            </c:numRef>
          </c:val>
        </c:ser>
        <c:marker val="1"/>
        <c:axId val="81267328"/>
        <c:axId val="106967424"/>
      </c:lineChart>
      <c:catAx>
        <c:axId val="8126732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06967424"/>
        <c:crosses val="autoZero"/>
        <c:lblAlgn val="ctr"/>
        <c:lblOffset val="100"/>
      </c:catAx>
      <c:valAx>
        <c:axId val="106967424"/>
        <c:scaling>
          <c:orientation val="minMax"/>
        </c:scaling>
        <c:axPos val="l"/>
        <c:majorGridlines>
          <c:spPr>
            <a:ln>
              <a:solidFill>
                <a:srgbClr val="4F81BD"/>
              </a:solidFill>
            </a:ln>
          </c:spPr>
        </c:majorGridlines>
        <c:numFmt formatCode="0.0" sourceLinked="1"/>
        <c:tickLblPos val="nextTo"/>
        <c:spPr>
          <a:ln w="47625">
            <a:noFill/>
          </a:ln>
        </c:spPr>
        <c:txPr>
          <a:bodyPr/>
          <a:lstStyle/>
          <a:p>
            <a:pPr>
              <a:defRPr/>
            </a:pPr>
            <a:endParaRPr lang="ru-RU"/>
          </a:p>
        </c:txPr>
        <c:crossAx val="81267328"/>
        <c:crosses val="autoZero"/>
        <c:crossBetween val="between"/>
      </c:valAx>
      <c:spPr>
        <a:solidFill>
          <a:srgbClr val="FFFFFF"/>
        </a:solidFill>
      </c:spPr>
    </c:plotArea>
    <c:legend>
      <c:legendPos val="r"/>
      <c:legendEntry>
        <c:idx val="1"/>
        <c:txPr>
          <a:bodyPr/>
          <a:lstStyle/>
          <a:p>
            <a:pPr>
              <a:defRPr sz="800"/>
            </a:pPr>
            <a:endParaRPr lang="ru-RU"/>
          </a:p>
        </c:txPr>
      </c:legendEntry>
      <c:legendEntry>
        <c:idx val="0"/>
        <c:txPr>
          <a:bodyPr/>
          <a:lstStyle/>
          <a:p>
            <a:pPr>
              <a:defRPr sz="800"/>
            </a:pPr>
            <a:endParaRPr lang="ru-RU"/>
          </a:p>
        </c:txPr>
      </c:legendEntry>
      <c:layout>
        <c:manualLayout>
          <c:xMode val="edge"/>
          <c:yMode val="edge"/>
          <c:x val="0.84294856943746843"/>
          <c:y val="0.30211236849879897"/>
          <c:w val="0.14870535357318795"/>
          <c:h val="0.40950201989905416"/>
        </c:manualLayout>
      </c:layout>
      <c:txPr>
        <a:bodyPr/>
        <a:lstStyle/>
        <a:p>
          <a:pPr>
            <a:defRPr sz="800"/>
          </a:pPr>
          <a:endParaRPr lang="ru-RU"/>
        </a:p>
      </c:txPr>
    </c:legend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/>
            </a:pPr>
            <a:r>
              <a:rPr lang="ru-RU" sz="1200"/>
              <a:t>Уровень использования среднегодовой производственной мощности</a:t>
            </a:r>
          </a:p>
        </c:rich>
      </c:tx>
      <c:layout>
        <c:manualLayout>
          <c:xMode val="edge"/>
          <c:yMode val="edge"/>
          <c:x val="0.1551757691231283"/>
          <c:y val="1.8606376282899385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7.432166230619279E-2"/>
          <c:y val="0.12253910887556771"/>
          <c:w val="0.78498554247845775"/>
          <c:h val="0.78171500489586299"/>
        </c:manualLayout>
      </c:layout>
      <c:lineChart>
        <c:grouping val="standard"/>
        <c:ser>
          <c:idx val="1"/>
          <c:order val="0"/>
          <c:tx>
            <c:strRef>
              <c:f>Лист1!$T$76</c:f>
              <c:strCache>
                <c:ptCount val="1"/>
                <c:pt idx="0">
                  <c:v>производство машин и оборудования</c:v>
                </c:pt>
              </c:strCache>
            </c:strRef>
          </c:tx>
          <c:marker>
            <c:symbol val="none"/>
          </c:marker>
          <c:trendline>
            <c:name>экстраполяционная функция</c:name>
            <c:spPr>
              <a:ln w="31750"/>
            </c:spPr>
            <c:trendlineType val="poly"/>
            <c:order val="3"/>
            <c:forward val="6"/>
            <c:intercept val="22.7"/>
          </c:trendline>
          <c:cat>
            <c:numRef>
              <c:f>Лист1!$U$53:$AN$53</c:f>
              <c:numCache>
                <c:formatCode>General</c:formatCode>
                <c:ptCount val="20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  <c:pt idx="16">
                  <c:v>2017</c:v>
                </c:pt>
                <c:pt idx="17">
                  <c:v>2018</c:v>
                </c:pt>
                <c:pt idx="18">
                  <c:v>2019</c:v>
                </c:pt>
                <c:pt idx="19">
                  <c:v>2020</c:v>
                </c:pt>
              </c:numCache>
            </c:numRef>
          </c:cat>
          <c:val>
            <c:numRef>
              <c:f>Лист1!$U$63:$AH$63</c:f>
              <c:numCache>
                <c:formatCode>0.0</c:formatCode>
                <c:ptCount val="14"/>
                <c:pt idx="0">
                  <c:v>31.326666666666664</c:v>
                </c:pt>
                <c:pt idx="1">
                  <c:v>33.986666666666217</c:v>
                </c:pt>
                <c:pt idx="2">
                  <c:v>32.753333333333337</c:v>
                </c:pt>
                <c:pt idx="3">
                  <c:v>33.806666666666231</c:v>
                </c:pt>
                <c:pt idx="4">
                  <c:v>36.020000000000003</c:v>
                </c:pt>
                <c:pt idx="5">
                  <c:v>41.593333333333362</c:v>
                </c:pt>
                <c:pt idx="6">
                  <c:v>45.053333333333327</c:v>
                </c:pt>
                <c:pt idx="7">
                  <c:v>49.93333333333333</c:v>
                </c:pt>
                <c:pt idx="8">
                  <c:v>47.326666666666291</c:v>
                </c:pt>
                <c:pt idx="9">
                  <c:v>24.093333333333156</c:v>
                </c:pt>
                <c:pt idx="10">
                  <c:v>34.78</c:v>
                </c:pt>
                <c:pt idx="11">
                  <c:v>40.800000000000004</c:v>
                </c:pt>
                <c:pt idx="12">
                  <c:v>38.200000000000003</c:v>
                </c:pt>
                <c:pt idx="13">
                  <c:v>33.733333333333363</c:v>
                </c:pt>
              </c:numCache>
            </c:numRef>
          </c:val>
        </c:ser>
        <c:marker val="1"/>
        <c:axId val="80257792"/>
        <c:axId val="80259328"/>
      </c:lineChart>
      <c:catAx>
        <c:axId val="8025779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80259328"/>
        <c:crosses val="autoZero"/>
        <c:lblAlgn val="ctr"/>
        <c:lblOffset val="100"/>
      </c:catAx>
      <c:valAx>
        <c:axId val="80259328"/>
        <c:scaling>
          <c:orientation val="minMax"/>
        </c:scaling>
        <c:axPos val="l"/>
        <c:majorGridlines>
          <c:spPr>
            <a:ln>
              <a:solidFill>
                <a:srgbClr val="4F81BD"/>
              </a:solidFill>
            </a:ln>
          </c:spPr>
        </c:majorGridlines>
        <c:numFmt formatCode="0.0" sourceLinked="1"/>
        <c:tickLblPos val="nextTo"/>
        <c:spPr>
          <a:ln w="47625">
            <a:noFill/>
          </a:ln>
        </c:spPr>
        <c:txPr>
          <a:bodyPr/>
          <a:lstStyle/>
          <a:p>
            <a:pPr>
              <a:defRPr/>
            </a:pPr>
            <a:endParaRPr lang="ru-RU"/>
          </a:p>
        </c:txPr>
        <c:crossAx val="80257792"/>
        <c:crosses val="autoZero"/>
        <c:crossBetween val="between"/>
      </c:valAx>
      <c:spPr>
        <a:solidFill>
          <a:srgbClr val="FFFFFF"/>
        </a:solidFill>
      </c:spPr>
    </c:plotArea>
    <c:legend>
      <c:legendPos val="r"/>
      <c:layout>
        <c:manualLayout>
          <c:xMode val="edge"/>
          <c:yMode val="edge"/>
          <c:x val="0.85792751609656448"/>
          <c:y val="0.26539014352616574"/>
          <c:w val="0.13172309292729786"/>
          <c:h val="0.61750812449422621"/>
        </c:manualLayout>
      </c:layout>
      <c:txPr>
        <a:bodyPr/>
        <a:lstStyle/>
        <a:p>
          <a:pPr>
            <a:defRPr sz="800"/>
          </a:pPr>
          <a:endParaRPr lang="ru-RU"/>
        </a:p>
      </c:txPr>
    </c:legend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Уровень использования среднегодовой производственной </a:t>
            </a:r>
            <a:r>
              <a:rPr lang="ru-RU" sz="1200" b="1" i="0" baseline="0">
                <a:effectLst/>
              </a:rPr>
              <a:t> мощности</a:t>
            </a:r>
            <a:endParaRPr lang="ru-RU" sz="1200">
              <a:effectLst/>
            </a:endParaRPr>
          </a:p>
        </c:rich>
      </c:tx>
      <c:layout>
        <c:manualLayout>
          <c:xMode val="edge"/>
          <c:yMode val="edge"/>
          <c:x val="0.11839661632021328"/>
          <c:y val="2.6761465621880542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7.432166230619279E-2"/>
          <c:y val="0.12253910887556771"/>
          <c:w val="0.75432761025197903"/>
          <c:h val="0.78171500489586299"/>
        </c:manualLayout>
      </c:layout>
      <c:lineChart>
        <c:grouping val="standard"/>
        <c:ser>
          <c:idx val="0"/>
          <c:order val="0"/>
          <c:tx>
            <c:strRef>
              <c:f>Лист1!$T$61</c:f>
              <c:strCache>
                <c:ptCount val="1"/>
                <c:pt idx="0">
                  <c:v>Производство прочих неметаллических минеральных продуктов</c:v>
                </c:pt>
              </c:strCache>
            </c:strRef>
          </c:tx>
          <c:marker>
            <c:symbol val="none"/>
          </c:marker>
          <c:trendline>
            <c:name>Экстраполяционная функция</c:name>
            <c:spPr>
              <a:ln w="31750"/>
            </c:spPr>
            <c:trendlineType val="poly"/>
            <c:order val="3"/>
            <c:forward val="6"/>
            <c:intercept val="34.1"/>
          </c:trendline>
          <c:cat>
            <c:numRef>
              <c:f>Лист1!$U$53:$AN$53</c:f>
              <c:numCache>
                <c:formatCode>General</c:formatCode>
                <c:ptCount val="20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  <c:pt idx="16">
                  <c:v>2017</c:v>
                </c:pt>
                <c:pt idx="17">
                  <c:v>2018</c:v>
                </c:pt>
                <c:pt idx="18">
                  <c:v>2019</c:v>
                </c:pt>
                <c:pt idx="19">
                  <c:v>2020</c:v>
                </c:pt>
              </c:numCache>
            </c:numRef>
          </c:cat>
          <c:val>
            <c:numRef>
              <c:f>Лист1!$U$61:$AH$61</c:f>
              <c:numCache>
                <c:formatCode>0.0</c:formatCode>
                <c:ptCount val="14"/>
                <c:pt idx="0">
                  <c:v>39.333333333333336</c:v>
                </c:pt>
                <c:pt idx="1">
                  <c:v>42.5</c:v>
                </c:pt>
                <c:pt idx="2">
                  <c:v>44.333333333333336</c:v>
                </c:pt>
                <c:pt idx="3">
                  <c:v>50.166666666666373</c:v>
                </c:pt>
                <c:pt idx="4">
                  <c:v>54.666666666666373</c:v>
                </c:pt>
                <c:pt idx="5">
                  <c:v>55.5</c:v>
                </c:pt>
                <c:pt idx="6">
                  <c:v>60.833333333333336</c:v>
                </c:pt>
                <c:pt idx="7">
                  <c:v>65</c:v>
                </c:pt>
                <c:pt idx="8">
                  <c:v>59</c:v>
                </c:pt>
                <c:pt idx="9">
                  <c:v>45.166666666666373</c:v>
                </c:pt>
                <c:pt idx="10">
                  <c:v>55.333333333333336</c:v>
                </c:pt>
                <c:pt idx="11">
                  <c:v>56</c:v>
                </c:pt>
                <c:pt idx="12">
                  <c:v>57.5</c:v>
                </c:pt>
                <c:pt idx="13">
                  <c:v>58.666666666666373</c:v>
                </c:pt>
              </c:numCache>
            </c:numRef>
          </c:val>
        </c:ser>
        <c:marker val="1"/>
        <c:axId val="80304768"/>
        <c:axId val="81281408"/>
      </c:lineChart>
      <c:catAx>
        <c:axId val="80304768"/>
        <c:scaling>
          <c:orientation val="minMax"/>
        </c:scaling>
        <c:axPos val="b"/>
        <c:numFmt formatCode="@" sourceLinked="0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81281408"/>
        <c:crosses val="autoZero"/>
        <c:lblAlgn val="ctr"/>
        <c:lblOffset val="100"/>
      </c:catAx>
      <c:valAx>
        <c:axId val="81281408"/>
        <c:scaling>
          <c:orientation val="minMax"/>
        </c:scaling>
        <c:axPos val="l"/>
        <c:majorGridlines>
          <c:spPr>
            <a:ln>
              <a:solidFill>
                <a:srgbClr val="4F81BD"/>
              </a:solidFill>
            </a:ln>
          </c:spPr>
        </c:majorGridlines>
        <c:numFmt formatCode="0.0" sourceLinked="1"/>
        <c:tickLblPos val="nextTo"/>
        <c:spPr>
          <a:ln w="47625">
            <a:noFill/>
          </a:ln>
        </c:spPr>
        <c:txPr>
          <a:bodyPr/>
          <a:lstStyle/>
          <a:p>
            <a:pPr>
              <a:defRPr/>
            </a:pPr>
            <a:endParaRPr lang="ru-RU"/>
          </a:p>
        </c:txPr>
        <c:crossAx val="80304768"/>
        <c:crosses val="autoZero"/>
        <c:crossBetween val="between"/>
      </c:valAx>
      <c:spPr>
        <a:solidFill>
          <a:srgbClr val="FFFFFF"/>
        </a:solidFill>
      </c:spPr>
    </c:plotArea>
    <c:legend>
      <c:legendPos val="r"/>
      <c:layout>
        <c:manualLayout>
          <c:xMode val="edge"/>
          <c:yMode val="edge"/>
          <c:x val="0.82661555494860761"/>
          <c:y val="0.23090775969480171"/>
          <c:w val="0.16112752875425482"/>
          <c:h val="0.68684572542753464"/>
        </c:manualLayout>
      </c:layout>
      <c:txPr>
        <a:bodyPr/>
        <a:lstStyle/>
        <a:p>
          <a:pPr>
            <a:defRPr sz="800"/>
          </a:pPr>
          <a:endParaRPr lang="ru-RU"/>
        </a:p>
      </c:txPr>
    </c:legend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Уровень использования среднегодовой производственной </a:t>
            </a:r>
            <a:r>
              <a:rPr lang="ru-RU" sz="1200" b="1" i="0" baseline="0">
                <a:effectLst/>
              </a:rPr>
              <a:t>мощности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 sz="1200"/>
          </a:p>
        </c:rich>
      </c:tx>
      <c:layout>
        <c:manualLayout>
          <c:xMode val="edge"/>
          <c:yMode val="edge"/>
          <c:x val="0.11839661632021328"/>
          <c:y val="2.6761465621880542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7.432166230619279E-2"/>
          <c:y val="0.12253910887556771"/>
          <c:w val="0.77786604926425107"/>
          <c:h val="0.78171500489586299"/>
        </c:manualLayout>
      </c:layout>
      <c:lineChart>
        <c:grouping val="standard"/>
        <c:ser>
          <c:idx val="1"/>
          <c:order val="0"/>
          <c:tx>
            <c:strRef>
              <c:f>Лист1!$T$60</c:f>
              <c:strCache>
                <c:ptCount val="1"/>
                <c:pt idx="0">
                  <c:v>Производство резиновых и пластмассовых изделий</c:v>
                </c:pt>
              </c:strCache>
            </c:strRef>
          </c:tx>
          <c:marker>
            <c:symbol val="none"/>
          </c:marker>
          <c:trendline>
            <c:name>Экстраполяционная </c:name>
            <c:spPr>
              <a:ln w="31750"/>
            </c:spPr>
            <c:trendlineType val="poly"/>
            <c:order val="3"/>
            <c:forward val="6"/>
            <c:intercept val="50.37"/>
          </c:trendline>
          <c:cat>
            <c:numRef>
              <c:f>Лист1!$U$53:$AN$53</c:f>
              <c:numCache>
                <c:formatCode>General</c:formatCode>
                <c:ptCount val="20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  <c:pt idx="16">
                  <c:v>2017</c:v>
                </c:pt>
                <c:pt idx="17">
                  <c:v>2018</c:v>
                </c:pt>
                <c:pt idx="18">
                  <c:v>2019</c:v>
                </c:pt>
                <c:pt idx="19">
                  <c:v>2020</c:v>
                </c:pt>
              </c:numCache>
            </c:numRef>
          </c:cat>
          <c:val>
            <c:numRef>
              <c:f>Лист1!$U$60:$AH$60</c:f>
              <c:numCache>
                <c:formatCode>0.0</c:formatCode>
                <c:ptCount val="14"/>
                <c:pt idx="0">
                  <c:v>50.5</c:v>
                </c:pt>
                <c:pt idx="1">
                  <c:v>56</c:v>
                </c:pt>
                <c:pt idx="2">
                  <c:v>56.5</c:v>
                </c:pt>
                <c:pt idx="3">
                  <c:v>61</c:v>
                </c:pt>
                <c:pt idx="4">
                  <c:v>60</c:v>
                </c:pt>
                <c:pt idx="5">
                  <c:v>63.5</c:v>
                </c:pt>
                <c:pt idx="6">
                  <c:v>63.5</c:v>
                </c:pt>
                <c:pt idx="7">
                  <c:v>72.5</c:v>
                </c:pt>
                <c:pt idx="8">
                  <c:v>68.5</c:v>
                </c:pt>
                <c:pt idx="9">
                  <c:v>53</c:v>
                </c:pt>
                <c:pt idx="10">
                  <c:v>67</c:v>
                </c:pt>
                <c:pt idx="11">
                  <c:v>69.5</c:v>
                </c:pt>
                <c:pt idx="12">
                  <c:v>69.5</c:v>
                </c:pt>
                <c:pt idx="13">
                  <c:v>66.5</c:v>
                </c:pt>
              </c:numCache>
            </c:numRef>
          </c:val>
        </c:ser>
        <c:marker val="1"/>
        <c:axId val="81326848"/>
        <c:axId val="81328384"/>
      </c:lineChart>
      <c:catAx>
        <c:axId val="8132684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81328384"/>
        <c:crosses val="autoZero"/>
        <c:lblAlgn val="ctr"/>
        <c:lblOffset val="100"/>
      </c:catAx>
      <c:valAx>
        <c:axId val="81328384"/>
        <c:scaling>
          <c:orientation val="minMax"/>
        </c:scaling>
        <c:axPos val="l"/>
        <c:majorGridlines>
          <c:spPr>
            <a:ln>
              <a:solidFill>
                <a:srgbClr val="4F81BD"/>
              </a:solidFill>
            </a:ln>
          </c:spPr>
        </c:majorGridlines>
        <c:numFmt formatCode="0.0" sourceLinked="1"/>
        <c:tickLblPos val="nextTo"/>
        <c:spPr>
          <a:ln w="47625">
            <a:noFill/>
          </a:ln>
        </c:spPr>
        <c:txPr>
          <a:bodyPr/>
          <a:lstStyle/>
          <a:p>
            <a:pPr>
              <a:defRPr/>
            </a:pPr>
            <a:endParaRPr lang="ru-RU"/>
          </a:p>
        </c:txPr>
        <c:crossAx val="81326848"/>
        <c:crosses val="autoZero"/>
        <c:crossBetween val="between"/>
      </c:valAx>
      <c:spPr>
        <a:solidFill>
          <a:srgbClr val="FFFFFF"/>
        </a:solidFill>
      </c:spPr>
    </c:plotArea>
    <c:legend>
      <c:legendPos val="r"/>
      <c:layout>
        <c:manualLayout>
          <c:xMode val="edge"/>
          <c:yMode val="edge"/>
          <c:x val="0.84373441968481255"/>
          <c:y val="0.28393662252251101"/>
          <c:w val="0.14833349465737003"/>
          <c:h val="0.63788222479686152"/>
        </c:manualLayout>
      </c:layout>
      <c:txPr>
        <a:bodyPr/>
        <a:lstStyle/>
        <a:p>
          <a:pPr>
            <a:defRPr sz="800"/>
          </a:pPr>
          <a:endParaRPr lang="ru-RU"/>
        </a:p>
      </c:txPr>
    </c:legend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2EB13-EB3E-4A7D-BEC6-F13436F06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47</Pages>
  <Words>10404</Words>
  <Characters>59307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System disc 7</Company>
  <LinksUpToDate>false</LinksUpToDate>
  <CharactersWithSpaces>69572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WinXPProSP3</cp:lastModifiedBy>
  <cp:revision>8</cp:revision>
  <dcterms:created xsi:type="dcterms:W3CDTF">2015-04-12T09:35:00Z</dcterms:created>
  <dcterms:modified xsi:type="dcterms:W3CDTF">2015-05-24T10:39:00Z</dcterms:modified>
</cp:coreProperties>
</file>